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3386" w14:textId="4530C5E5" w:rsidR="00993635" w:rsidRPr="00993635" w:rsidRDefault="00993635" w:rsidP="0099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bookmarkStart w:id="0" w:name="_Hlk222187936"/>
      <w:r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ВОПРОС </w:t>
      </w:r>
      <w:r w:rsidRPr="00993635">
        <w:rPr>
          <w:rFonts w:eastAsia="Times New Roman"/>
          <w:b/>
          <w:bCs/>
          <w:color w:val="000000"/>
          <w:shd w:val="clear" w:color="auto" w:fill="FFFFFF"/>
          <w:lang w:val="ru-RU"/>
        </w:rPr>
        <w:t>1. Светлана Владимировна Б.</w:t>
      </w:r>
    </w:p>
    <w:p w14:paraId="7657FCA5" w14:textId="77777777" w:rsidR="0099363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При смене собственника помещения выявили переплату по коммунальным платежам.</w:t>
      </w:r>
    </w:p>
    <w:p w14:paraId="28843E94" w14:textId="77777777" w:rsidR="0099363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Договор с новым собственником заключен. Акты сверки в наличии.</w:t>
      </w:r>
    </w:p>
    <w:p w14:paraId="74617852" w14:textId="77777777" w:rsidR="0099363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Управляющая компания перенесла переплату на нового собственника на основании письма от предыдущего владельца.</w:t>
      </w:r>
    </w:p>
    <w:p w14:paraId="5A51E9B5" w14:textId="77777777" w:rsidR="0099363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Новые квитанции идут на нового собственника.</w:t>
      </w:r>
    </w:p>
    <w:p w14:paraId="137FB1C7" w14:textId="77777777" w:rsidR="0099363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Достаточно данных документов для операции переноса?   Каким документом нужно оформить данную операцию между старым и новым собственниками?</w:t>
      </w:r>
    </w:p>
    <w:p w14:paraId="70AB8995" w14:textId="24D3DDC9" w:rsidR="00D93C65" w:rsidRPr="00993635" w:rsidRDefault="0099363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Какими проводками отразить эти операции у старого и нового собственников в программе? Работаем в 1С Проф.</w:t>
      </w:r>
    </w:p>
    <w:bookmarkEnd w:id="0"/>
    <w:p w14:paraId="4C654FC8" w14:textId="5664B6FE" w:rsidR="000E0F5E" w:rsidRDefault="0073190F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Д60 К76 (старый собственник)</w:t>
      </w:r>
    </w:p>
    <w:p w14:paraId="06F078DD" w14:textId="12234AA7" w:rsidR="0073190F" w:rsidRPr="00647C6C" w:rsidRDefault="0073190F" w:rsidP="00B56D8C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Д76 (старый собственник) К91.01</w:t>
      </w:r>
    </w:p>
    <w:p w14:paraId="56F3EF5A" w14:textId="77777777" w:rsidR="000C7B7D" w:rsidRDefault="000C7B7D" w:rsidP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2E8E85EE" w14:textId="2CB4C378" w:rsidR="000E0F5E" w:rsidRDefault="000E0F5E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5E059B85" w14:textId="504D14E7" w:rsidR="00993635" w:rsidRPr="00993635" w:rsidRDefault="00993635" w:rsidP="0099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 xml:space="preserve">ВОПРОС </w:t>
      </w:r>
      <w:r w:rsidRPr="00993635">
        <w:rPr>
          <w:rFonts w:eastAsia="Times New Roman"/>
          <w:b/>
          <w:bCs/>
          <w:color w:val="000000"/>
          <w:shd w:val="clear" w:color="auto" w:fill="FFFFFF"/>
          <w:lang w:val="ru-RU"/>
        </w:rPr>
        <w:t>2. Екатерина Игоревна Б.</w:t>
      </w:r>
    </w:p>
    <w:p w14:paraId="059884C3" w14:textId="4BC9EB04" w:rsidR="00993635" w:rsidRDefault="00993635" w:rsidP="0099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В новой форме бухгалтерского баланса, утверждённой ФСБУ 4/2023 появилась строка: «Бухгалтерская отчётность подлежит утверждению» и «Наименование органа, утверждающего бухгалтерскую отчётность». Должны ли НКО заполнять эти строки? Например, бух. отчётность НКО в соответствии со своим уставом в принципе подлежит утверждению, но на момент сдачи бух. отчётности ещё не утверждена, а это произойдёт, например в конце года после аудита - нужно ли заполнять эти строки?</w:t>
      </w:r>
    </w:p>
    <w:p w14:paraId="59378058" w14:textId="77777777" w:rsidR="00993635" w:rsidRPr="00993635" w:rsidRDefault="00993635" w:rsidP="009936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</w:p>
    <w:p w14:paraId="3CB95CFE" w14:textId="77777777" w:rsidR="00C7058C" w:rsidRDefault="00C7058C" w:rsidP="00C7058C">
      <w:pPr>
        <w:spacing w:line="288" w:lineRule="atLeast"/>
        <w:rPr>
          <w:rFonts w:eastAsia="Times New Roman"/>
          <w:b/>
          <w:bCs/>
          <w:lang w:val="ru-RU"/>
        </w:rPr>
      </w:pPr>
    </w:p>
    <w:p w14:paraId="350BC66A" w14:textId="77777777" w:rsidR="00C7058C" w:rsidRDefault="00C7058C" w:rsidP="00C7058C">
      <w:pPr>
        <w:spacing w:line="288" w:lineRule="atLeast"/>
        <w:rPr>
          <w:rFonts w:eastAsia="Times New Roman"/>
          <w:b/>
          <w:bCs/>
          <w:lang w:val="ru-RU"/>
        </w:rPr>
      </w:pPr>
    </w:p>
    <w:p w14:paraId="462A54AE" w14:textId="77777777" w:rsidR="00C7058C" w:rsidRDefault="00C7058C" w:rsidP="00C7058C">
      <w:pPr>
        <w:spacing w:line="288" w:lineRule="atLeast"/>
        <w:rPr>
          <w:rFonts w:eastAsia="Times New Roman"/>
          <w:b/>
          <w:bCs/>
          <w:lang w:val="ru-RU"/>
        </w:rPr>
      </w:pPr>
    </w:p>
    <w:p w14:paraId="30E7AACA" w14:textId="1FC7919F" w:rsidR="00C7058C" w:rsidRPr="00C7058C" w:rsidRDefault="00C7058C" w:rsidP="00C7058C">
      <w:pPr>
        <w:spacing w:line="288" w:lineRule="atLeast"/>
        <w:rPr>
          <w:rFonts w:eastAsia="Times New Roman"/>
          <w:b/>
          <w:bCs/>
          <w:lang w:val="ru-RU"/>
        </w:rPr>
      </w:pPr>
      <w:r w:rsidRPr="00C7058C">
        <w:rPr>
          <w:rFonts w:eastAsia="Times New Roman"/>
          <w:b/>
          <w:bCs/>
          <w:lang w:val="ru-RU"/>
        </w:rPr>
        <w:t xml:space="preserve">ФСБУ 4/2023 </w:t>
      </w:r>
    </w:p>
    <w:p w14:paraId="2BCBFD3C" w14:textId="428FE438" w:rsidR="00C7058C" w:rsidRPr="00C7058C" w:rsidRDefault="00C7058C" w:rsidP="00C7058C">
      <w:pPr>
        <w:spacing w:line="288" w:lineRule="atLeast"/>
        <w:rPr>
          <w:rFonts w:eastAsia="Times New Roman"/>
          <w:b/>
          <w:bCs/>
          <w:lang w:val="ru-RU"/>
        </w:rPr>
      </w:pPr>
      <w:r w:rsidRPr="00C7058C">
        <w:rPr>
          <w:rFonts w:eastAsia="Times New Roman"/>
          <w:b/>
          <w:bCs/>
          <w:lang w:val="ru-RU"/>
        </w:rPr>
        <w:t>III. Состав и содержание информации, раскрываемой в бухгалтерской отчетности</w:t>
      </w:r>
    </w:p>
    <w:p w14:paraId="01A246C3" w14:textId="339B0341" w:rsidR="00C7058C" w:rsidRPr="00C7058C" w:rsidRDefault="00C7058C" w:rsidP="00C7058C">
      <w:pPr>
        <w:spacing w:line="288" w:lineRule="atLeast"/>
        <w:rPr>
          <w:rFonts w:eastAsia="Times New Roman"/>
          <w:lang w:val="ru-RU"/>
        </w:rPr>
      </w:pPr>
      <w:r w:rsidRPr="00C7058C">
        <w:rPr>
          <w:rFonts w:eastAsia="Times New Roman"/>
          <w:b/>
          <w:bCs/>
          <w:lang w:val="ru-RU"/>
        </w:rPr>
        <w:t>Заголовочная часть бухгалтерской отчетности</w:t>
      </w:r>
      <w:r>
        <w:rPr>
          <w:rFonts w:eastAsia="Times New Roman"/>
          <w:b/>
          <w:bCs/>
          <w:lang w:val="ru-RU"/>
        </w:rPr>
        <w:t xml:space="preserve"> </w:t>
      </w:r>
      <w:r w:rsidRPr="00C7058C">
        <w:rPr>
          <w:rFonts w:eastAsia="Times New Roman"/>
          <w:b/>
          <w:bCs/>
          <w:lang w:val="ru-RU"/>
        </w:rPr>
        <w:t>и ее составляющих</w:t>
      </w:r>
    </w:p>
    <w:p w14:paraId="49814AE1" w14:textId="77777777" w:rsidR="00C7058C" w:rsidRPr="00C7058C" w:rsidRDefault="00C7058C" w:rsidP="00C7058C">
      <w:pPr>
        <w:spacing w:line="288" w:lineRule="atLeast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 </w:t>
      </w:r>
    </w:p>
    <w:p w14:paraId="002281BE" w14:textId="77777777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58. Заголовочная часть бухгалтерской отчетности (в том числе упрощенной бухгалтерской отчетности) должна содержать:</w:t>
      </w:r>
    </w:p>
    <w:p w14:paraId="46D81975" w14:textId="77777777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а) наименование "Бухгалтерская отчетность";</w:t>
      </w:r>
    </w:p>
    <w:p w14:paraId="6B5589A0" w14:textId="77777777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б) отчетный период, за который составлена бухгалтерская отчетность;</w:t>
      </w:r>
    </w:p>
    <w:p w14:paraId="4B8DAB79" w14:textId="77777777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в) наименование экономического субъекта с указанием его организационно-правовой формы, идентификационный номер налогоплательщика;</w:t>
      </w:r>
    </w:p>
    <w:p w14:paraId="14F80D9D" w14:textId="77777777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г) адрес экономического субъекта в пределах его места нахождения.</w:t>
      </w:r>
    </w:p>
    <w:p w14:paraId="002AC3FF" w14:textId="77777777" w:rsid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</w:p>
    <w:p w14:paraId="0B2EEC8C" w14:textId="5CD8B1D3" w:rsidR="00C7058C" w:rsidRPr="00C7058C" w:rsidRDefault="00C7058C" w:rsidP="00C7058C">
      <w:pPr>
        <w:spacing w:line="288" w:lineRule="atLeast"/>
        <w:jc w:val="both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 xml:space="preserve">59. В заголовочной части бухгалтерской отчетности (в том числе упрощенной бухгалтерской отчетности), </w:t>
      </w:r>
      <w:r w:rsidRPr="00C7058C">
        <w:rPr>
          <w:rFonts w:eastAsia="Times New Roman"/>
          <w:b/>
          <w:bCs/>
          <w:lang w:val="ru-RU"/>
        </w:rPr>
        <w:t>представляемой в налоговый орган, в том числе в целях формирования государственного информационного ресурса бухгалтерской (финансовой) отчетности, в орган государственной статистики, другие органы исполнительной власти</w:t>
      </w:r>
      <w:r w:rsidRPr="00C7058C">
        <w:rPr>
          <w:rFonts w:eastAsia="Times New Roman"/>
          <w:lang w:val="ru-RU"/>
        </w:rPr>
        <w:t xml:space="preserve"> (далее соответственно - </w:t>
      </w:r>
      <w:r w:rsidRPr="00C7058C">
        <w:rPr>
          <w:rFonts w:eastAsia="Times New Roman"/>
          <w:b/>
          <w:bCs/>
          <w:lang w:val="ru-RU"/>
        </w:rPr>
        <w:t>представляемая бухгалтерская отчетность, представляемая упрощенная бухгалтерская отчетность</w:t>
      </w:r>
      <w:r w:rsidRPr="00C7058C">
        <w:rPr>
          <w:rFonts w:eastAsia="Times New Roman"/>
          <w:lang w:val="ru-RU"/>
        </w:rPr>
        <w:t>), помимо предусмотренного пунктом 58 настоящего Стандарта, должны быть указаны:</w:t>
      </w:r>
    </w:p>
    <w:p w14:paraId="4524B46D" w14:textId="77777777" w:rsidR="00C7058C" w:rsidRDefault="00C7058C" w:rsidP="00C7058C">
      <w:pPr>
        <w:spacing w:line="288" w:lineRule="atLeast"/>
        <w:rPr>
          <w:rFonts w:eastAsia="Times New Roman"/>
          <w:lang w:val="ru-RU"/>
        </w:rPr>
      </w:pPr>
    </w:p>
    <w:p w14:paraId="2235664B" w14:textId="60FF81D5" w:rsidR="00C7058C" w:rsidRPr="00C7058C" w:rsidRDefault="00C7058C" w:rsidP="00C7058C">
      <w:pPr>
        <w:spacing w:line="288" w:lineRule="atLeast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а) форма собственности экономического субъекта;</w:t>
      </w:r>
    </w:p>
    <w:p w14:paraId="77F9C645" w14:textId="77777777" w:rsidR="00C7058C" w:rsidRDefault="00C7058C" w:rsidP="00C7058C">
      <w:pPr>
        <w:spacing w:line="288" w:lineRule="atLeast"/>
        <w:rPr>
          <w:rFonts w:eastAsia="Times New Roman"/>
          <w:lang w:val="ru-RU"/>
        </w:rPr>
      </w:pPr>
    </w:p>
    <w:p w14:paraId="75A1FDE5" w14:textId="2C2A9097" w:rsidR="00C7058C" w:rsidRPr="00C7058C" w:rsidRDefault="00C7058C" w:rsidP="00C7058C">
      <w:pPr>
        <w:spacing w:line="288" w:lineRule="atLeast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б) подлежит ли бухгалтерская отчетность обязательному аудиту, а в случае, если подлежит - также наименование аудиторской организации, осуществившей обязательный аудит бухгалтерской отчетности, ее идентификационный номер налогоплательщика и основной государственный регистрационный номер;</w:t>
      </w:r>
    </w:p>
    <w:p w14:paraId="3E2DB528" w14:textId="77777777" w:rsidR="00C7058C" w:rsidRDefault="00C7058C" w:rsidP="00C7058C">
      <w:pPr>
        <w:spacing w:line="288" w:lineRule="atLeast"/>
        <w:rPr>
          <w:rFonts w:eastAsia="Times New Roman"/>
          <w:lang w:val="ru-RU"/>
        </w:rPr>
      </w:pPr>
    </w:p>
    <w:p w14:paraId="58D7FE60" w14:textId="443847F7" w:rsidR="00A445FB" w:rsidRPr="00C7058C" w:rsidRDefault="00C7058C" w:rsidP="00C7058C">
      <w:pPr>
        <w:spacing w:line="288" w:lineRule="atLeast"/>
        <w:rPr>
          <w:rFonts w:eastAsia="Times New Roman"/>
          <w:lang w:val="ru-RU"/>
        </w:rPr>
      </w:pPr>
      <w:r w:rsidRPr="00C7058C">
        <w:rPr>
          <w:rFonts w:eastAsia="Times New Roman"/>
          <w:lang w:val="ru-RU"/>
        </w:rPr>
        <w:t>в) подлежит ли бухгалтерская отчетность утверждению, а в случае, если подлежит - также наименование органа, утверждающего бухгалтерскую отчетность.</w:t>
      </w:r>
    </w:p>
    <w:p w14:paraId="15DFC327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F9C549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4B6384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61CA5E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645572B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9E0EB8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D78E5D7" w14:textId="37A8A36E" w:rsidR="00C7058C" w:rsidRDefault="00C7058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5B9291E5" w14:textId="77777777" w:rsidR="00C7058C" w:rsidRDefault="00C7058C" w:rsidP="00C7058C">
      <w:pPr>
        <w:spacing w:line="288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5A98DEC" w14:textId="77777777" w:rsidR="00C7058C" w:rsidRPr="00C7058C" w:rsidRDefault="00C7058C" w:rsidP="00A445FB">
      <w:pPr>
        <w:spacing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561026" w14:textId="45D6B484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>Приложение N 2</w:t>
      </w:r>
    </w:p>
    <w:p w14:paraId="43B6320F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к Федеральному стандарту </w:t>
      </w:r>
    </w:p>
    <w:p w14:paraId="3FAB4264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бухгалтерского учета ФСБУ 4/2023 </w:t>
      </w:r>
    </w:p>
    <w:p w14:paraId="281EC11C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"Бухгалтерская (финансовая) </w:t>
      </w:r>
    </w:p>
    <w:p w14:paraId="3EE30D4A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отчетность", утвержденному </w:t>
      </w:r>
    </w:p>
    <w:p w14:paraId="2781999D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приказом Министерства финансов </w:t>
      </w:r>
    </w:p>
    <w:p w14:paraId="31EEEBAF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Российской Федерации </w:t>
      </w:r>
    </w:p>
    <w:p w14:paraId="35D475A3" w14:textId="77777777" w:rsidR="00A445FB" w:rsidRPr="00A445FB" w:rsidRDefault="00A445FB" w:rsidP="00A445FB">
      <w:pPr>
        <w:spacing w:line="288" w:lineRule="atLeast"/>
        <w:jc w:val="righ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от 04.10.2023 N 157н </w:t>
      </w:r>
    </w:p>
    <w:p w14:paraId="32B1B89F" w14:textId="77777777" w:rsidR="00A445FB" w:rsidRPr="00A445FB" w:rsidRDefault="00A445FB" w:rsidP="00A445FB">
      <w:pPr>
        <w:spacing w:line="288" w:lineRule="atLeast"/>
        <w:jc w:val="both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p w14:paraId="67046D66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ОБРАЗЕЦ ЗАГОЛОВОЧНОЙ ЧАСТИ </w:t>
      </w:r>
    </w:p>
    <w:p w14:paraId="2FE5C064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БУХГАЛТЕРСКОЙ (ФИНАНСОВОЙ) ОТЧЕТНОСТИ, </w:t>
      </w:r>
      <w:r w:rsidRPr="00A445FB">
        <w:rPr>
          <w:rFonts w:eastAsia="Times New Roman"/>
          <w:b/>
          <w:bCs/>
          <w:sz w:val="20"/>
          <w:szCs w:val="20"/>
          <w:lang w:val="ru-RU"/>
        </w:rPr>
        <w:t xml:space="preserve">ПРЕДСТАВЛЯЕМОЙ </w:t>
      </w:r>
    </w:p>
    <w:p w14:paraId="1C128A1B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A445FB">
        <w:rPr>
          <w:rFonts w:eastAsia="Times New Roman"/>
          <w:b/>
          <w:bCs/>
          <w:sz w:val="20"/>
          <w:szCs w:val="20"/>
          <w:lang w:val="ru-RU"/>
        </w:rPr>
        <w:t xml:space="preserve">В НАЛОГОВЫЙ ОРГАН, В ТОМ ЧИСЛЕ В ЦЕЛЯХ ФОРМИРОВАНИЯ </w:t>
      </w:r>
    </w:p>
    <w:p w14:paraId="0E48F61E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A445FB">
        <w:rPr>
          <w:rFonts w:eastAsia="Times New Roman"/>
          <w:b/>
          <w:bCs/>
          <w:sz w:val="20"/>
          <w:szCs w:val="20"/>
          <w:lang w:val="ru-RU"/>
        </w:rPr>
        <w:t xml:space="preserve">ГОСУДАРСТВЕННОГО ИНФОРМАЦИОННОГО РЕСУРСА БУХГАЛТЕРСКОЙ </w:t>
      </w:r>
    </w:p>
    <w:p w14:paraId="20169B3E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A445FB">
        <w:rPr>
          <w:rFonts w:eastAsia="Times New Roman"/>
          <w:b/>
          <w:bCs/>
          <w:sz w:val="20"/>
          <w:szCs w:val="20"/>
          <w:lang w:val="ru-RU"/>
        </w:rPr>
        <w:t xml:space="preserve">(ФИНАНСОВОЙ) ОТЧЕТНОСТИ, В ОРГАН ГОСУДАРСТВЕННОЙ </w:t>
      </w:r>
    </w:p>
    <w:p w14:paraId="1E4E51CC" w14:textId="77777777" w:rsidR="00A445FB" w:rsidRPr="00A445FB" w:rsidRDefault="00A445FB" w:rsidP="00A445FB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val="ru-RU"/>
        </w:rPr>
      </w:pPr>
      <w:r w:rsidRPr="00A445FB">
        <w:rPr>
          <w:rFonts w:eastAsia="Times New Roman"/>
          <w:b/>
          <w:bCs/>
          <w:sz w:val="20"/>
          <w:szCs w:val="20"/>
          <w:lang w:val="ru-RU"/>
        </w:rPr>
        <w:t xml:space="preserve">СТАТИСТИКИ, ДРУГИЕ ОРГАНЫ ИСПОЛНИТЕЛЬНОЙ ВЛАСТИ </w:t>
      </w:r>
    </w:p>
    <w:p w14:paraId="3DA4C265" w14:textId="77777777" w:rsidR="00A445FB" w:rsidRPr="00A445FB" w:rsidRDefault="00A445FB" w:rsidP="00A445FB">
      <w:pPr>
        <w:spacing w:line="288" w:lineRule="atLeast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A445FB" w:rsidRPr="00A445FB" w14:paraId="27720351" w14:textId="77777777">
        <w:tc>
          <w:tcPr>
            <w:tcW w:w="0" w:type="auto"/>
            <w:hideMark/>
          </w:tcPr>
          <w:p w14:paraId="74C27AE0" w14:textId="77777777" w:rsidR="00A445FB" w:rsidRPr="00A445FB" w:rsidRDefault="00A445FB" w:rsidP="00A445F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Бухгалтерская отчетность </w:t>
            </w:r>
          </w:p>
          <w:p w14:paraId="63F0C993" w14:textId="77777777" w:rsidR="00A445FB" w:rsidRPr="00A445FB" w:rsidRDefault="00A445FB" w:rsidP="00A445FB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за ________________ 20__ г. </w:t>
            </w:r>
          </w:p>
        </w:tc>
      </w:tr>
    </w:tbl>
    <w:p w14:paraId="5BF5F804" w14:textId="77777777" w:rsidR="00A445FB" w:rsidRPr="00A445FB" w:rsidRDefault="00A445FB" w:rsidP="00A445FB">
      <w:pPr>
        <w:spacing w:line="288" w:lineRule="atLeast"/>
        <w:jc w:val="both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9"/>
        <w:gridCol w:w="90"/>
        <w:gridCol w:w="1612"/>
        <w:gridCol w:w="114"/>
      </w:tblGrid>
      <w:tr w:rsidR="00A445FB" w:rsidRPr="00A445FB" w14:paraId="22AE203B" w14:textId="77777777">
        <w:tc>
          <w:tcPr>
            <w:tcW w:w="0" w:type="auto"/>
            <w:vAlign w:val="center"/>
            <w:hideMark/>
          </w:tcPr>
          <w:p w14:paraId="0638972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Организация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40AB97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6A7AA47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50C19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1A30EAC9" w14:textId="77777777">
        <w:tc>
          <w:tcPr>
            <w:tcW w:w="0" w:type="auto"/>
            <w:vAlign w:val="center"/>
            <w:hideMark/>
          </w:tcPr>
          <w:p w14:paraId="0D1748B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Идентификационный номер налогоплательщика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4E0AD8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3A02E34D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6CAD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7B6385A8" w14:textId="77777777">
        <w:tc>
          <w:tcPr>
            <w:tcW w:w="0" w:type="auto"/>
            <w:vAlign w:val="center"/>
            <w:hideMark/>
          </w:tcPr>
          <w:p w14:paraId="61ABCF79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1743467A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0AF370E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по </w:t>
            </w:r>
            <w:hyperlink r:id="rId5" w:history="1">
              <w:r w:rsidRPr="00A445FB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/>
                </w:rPr>
                <w:t>ОКОПФ</w:t>
              </w:r>
            </w:hyperlink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F9C7F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4DAB4B0A" w14:textId="77777777">
        <w:tc>
          <w:tcPr>
            <w:tcW w:w="0" w:type="auto"/>
            <w:vAlign w:val="center"/>
            <w:hideMark/>
          </w:tcPr>
          <w:p w14:paraId="340B6FD9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35CEAE60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55046AD8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по </w:t>
            </w:r>
            <w:hyperlink r:id="rId6" w:history="1">
              <w:r w:rsidRPr="00A445FB">
                <w:rPr>
                  <w:rFonts w:eastAsia="Times New Roman"/>
                  <w:color w:val="0000FF"/>
                  <w:sz w:val="20"/>
                  <w:szCs w:val="20"/>
                  <w:u w:val="single"/>
                  <w:lang w:val="ru-RU"/>
                </w:rPr>
                <w:t>ОКФС</w:t>
              </w:r>
            </w:hyperlink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3D5B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08071BFA" w14:textId="77777777">
        <w:tc>
          <w:tcPr>
            <w:tcW w:w="0" w:type="auto"/>
            <w:gridSpan w:val="2"/>
            <w:vAlign w:val="center"/>
            <w:hideMark/>
          </w:tcPr>
          <w:p w14:paraId="3F6A8BE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7585415A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14291B40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353B3565" w14:textId="77777777">
        <w:tc>
          <w:tcPr>
            <w:tcW w:w="0" w:type="auto"/>
            <w:vAlign w:val="center"/>
            <w:hideMark/>
          </w:tcPr>
          <w:p w14:paraId="13C9025E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Адрес в пределах места нахождения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14:paraId="216C7AA3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9A97251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493629E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551C4AC2" w14:textId="77777777"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14:paraId="3B7C300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264BF35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AC3D056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</w:tbl>
    <w:p w14:paraId="396CD450" w14:textId="77777777" w:rsidR="00A445FB" w:rsidRPr="00A445FB" w:rsidRDefault="00A445FB" w:rsidP="00A445FB">
      <w:pPr>
        <w:spacing w:line="288" w:lineRule="atLeast"/>
        <w:jc w:val="both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2"/>
        <w:gridCol w:w="64"/>
        <w:gridCol w:w="71"/>
        <w:gridCol w:w="284"/>
        <w:gridCol w:w="71"/>
        <w:gridCol w:w="408"/>
      </w:tblGrid>
      <w:tr w:rsidR="00A445FB" w:rsidRPr="00A445FB" w14:paraId="39EE22E6" w14:textId="77777777">
        <w:tc>
          <w:tcPr>
            <w:tcW w:w="0" w:type="auto"/>
            <w:vAlign w:val="center"/>
            <w:hideMark/>
          </w:tcPr>
          <w:p w14:paraId="1F19C0C1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Бухгалтерская отчетность подлежит обязательному аудиту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3A046EBA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89B67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0EA358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D5A8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61A60A83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A445FB" w:rsidRPr="00A445FB" w14:paraId="562823A8" w14:textId="77777777">
        <w:tc>
          <w:tcPr>
            <w:tcW w:w="0" w:type="auto"/>
            <w:vAlign w:val="center"/>
            <w:hideMark/>
          </w:tcPr>
          <w:p w14:paraId="7FBDAD30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Наименование аудиторской организации, проводившей обязательный аудит _______________________________________ </w:t>
            </w:r>
          </w:p>
          <w:p w14:paraId="2AAA1043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_________________________________________________________ </w:t>
            </w:r>
          </w:p>
        </w:tc>
        <w:tc>
          <w:tcPr>
            <w:tcW w:w="0" w:type="auto"/>
            <w:hideMark/>
          </w:tcPr>
          <w:p w14:paraId="593E9DB3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234C12E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4CE3E3C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DA6B3A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5F47878D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</w:tbl>
    <w:p w14:paraId="5CECD266" w14:textId="77777777" w:rsidR="00A445FB" w:rsidRPr="00A445FB" w:rsidRDefault="00A445FB" w:rsidP="00A445FB">
      <w:pPr>
        <w:spacing w:line="288" w:lineRule="atLeast"/>
        <w:jc w:val="both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626"/>
        <w:gridCol w:w="81"/>
      </w:tblGrid>
      <w:tr w:rsidR="00A445FB" w:rsidRPr="00A445FB" w14:paraId="69868DDC" w14:textId="77777777">
        <w:tc>
          <w:tcPr>
            <w:tcW w:w="0" w:type="auto"/>
            <w:hideMark/>
          </w:tcPr>
          <w:p w14:paraId="04508241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Идентификационный номер налогоплательщика аудиторской организации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1FA19A02" w14:textId="77777777" w:rsidR="00A445FB" w:rsidRPr="00A445FB" w:rsidRDefault="00A445FB" w:rsidP="00A445FB">
            <w:pPr>
              <w:spacing w:line="288" w:lineRule="atLeast"/>
              <w:jc w:val="righ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E0084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  <w:tr w:rsidR="00A445FB" w:rsidRPr="00A445FB" w14:paraId="36174A47" w14:textId="77777777">
        <w:tc>
          <w:tcPr>
            <w:tcW w:w="0" w:type="auto"/>
            <w:hideMark/>
          </w:tcPr>
          <w:p w14:paraId="69FD1CD1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Основной государственный регистрационный номер аудиторской организации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vAlign w:val="center"/>
            <w:hideMark/>
          </w:tcPr>
          <w:p w14:paraId="2E476D58" w14:textId="77777777" w:rsidR="00A445FB" w:rsidRPr="00A445FB" w:rsidRDefault="00A445FB" w:rsidP="00A445FB">
            <w:pPr>
              <w:spacing w:line="288" w:lineRule="atLeast"/>
              <w:jc w:val="righ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A6A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</w:tbl>
    <w:p w14:paraId="36894CD3" w14:textId="77777777" w:rsidR="00A445FB" w:rsidRPr="00A445FB" w:rsidRDefault="00A445FB" w:rsidP="00A445FB">
      <w:pPr>
        <w:spacing w:line="288" w:lineRule="atLeast"/>
        <w:jc w:val="both"/>
        <w:rPr>
          <w:rFonts w:eastAsia="Times New Roman"/>
          <w:sz w:val="20"/>
          <w:szCs w:val="20"/>
          <w:lang w:val="ru-RU"/>
        </w:rPr>
      </w:pPr>
      <w:r w:rsidRPr="00A445FB">
        <w:rPr>
          <w:rFonts w:eastAsia="Times New Roman"/>
          <w:sz w:val="20"/>
          <w:szCs w:val="20"/>
          <w:lang w:val="ru-RU"/>
        </w:rPr>
        <w:t xml:space="preserve">  </w:t>
      </w:r>
    </w:p>
    <w:tbl>
      <w:tblPr>
        <w:tblW w:w="916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7"/>
        <w:gridCol w:w="81"/>
        <w:gridCol w:w="90"/>
        <w:gridCol w:w="360"/>
        <w:gridCol w:w="90"/>
        <w:gridCol w:w="517"/>
      </w:tblGrid>
      <w:tr w:rsidR="00A445FB" w:rsidRPr="00A445FB" w14:paraId="65A5C832" w14:textId="77777777">
        <w:tc>
          <w:tcPr>
            <w:tcW w:w="0" w:type="auto"/>
            <w:vAlign w:val="center"/>
            <w:hideMark/>
          </w:tcPr>
          <w:p w14:paraId="4C551BF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Бухгалтерская отчетность подлежит утверждению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14:paraId="781F6A8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606DE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1826669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FBC55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14:paraId="25090231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A445FB" w:rsidRPr="00A445FB" w14:paraId="71FAF6E2" w14:textId="77777777">
        <w:tc>
          <w:tcPr>
            <w:tcW w:w="0" w:type="auto"/>
            <w:vAlign w:val="center"/>
            <w:hideMark/>
          </w:tcPr>
          <w:p w14:paraId="23FE216C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Наименование органа, утверждающего бухгалтерскую </w:t>
            </w:r>
          </w:p>
          <w:p w14:paraId="6754FE5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отчетность _______________________________________________ </w:t>
            </w:r>
          </w:p>
          <w:p w14:paraId="42AEC5E5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_________________________________________________________ </w:t>
            </w:r>
          </w:p>
        </w:tc>
        <w:tc>
          <w:tcPr>
            <w:tcW w:w="0" w:type="auto"/>
            <w:hideMark/>
          </w:tcPr>
          <w:p w14:paraId="45EABE0E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5989ED16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B594235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14:paraId="4A4D9D3B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  <w:tc>
          <w:tcPr>
            <w:tcW w:w="0" w:type="auto"/>
            <w:hideMark/>
          </w:tcPr>
          <w:p w14:paraId="1E95C032" w14:textId="77777777" w:rsidR="00A445FB" w:rsidRPr="00A445FB" w:rsidRDefault="00A445FB" w:rsidP="00A445FB">
            <w:pPr>
              <w:spacing w:line="288" w:lineRule="atLeast"/>
              <w:rPr>
                <w:rFonts w:eastAsia="Times New Roman"/>
                <w:sz w:val="20"/>
                <w:szCs w:val="20"/>
                <w:lang w:val="ru-RU"/>
              </w:rPr>
            </w:pPr>
            <w:r w:rsidRPr="00A445FB">
              <w:rPr>
                <w:rFonts w:eastAsia="Times New Roman"/>
                <w:sz w:val="20"/>
                <w:szCs w:val="20"/>
                <w:lang w:val="ru-RU"/>
              </w:rPr>
              <w:t xml:space="preserve">  </w:t>
            </w:r>
          </w:p>
        </w:tc>
      </w:tr>
    </w:tbl>
    <w:p w14:paraId="5A5D7597" w14:textId="4E750309" w:rsidR="00993635" w:rsidRDefault="0099363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47FE592F" w14:textId="370AA6E8" w:rsidR="00993635" w:rsidRPr="00993635" w:rsidRDefault="001C7FE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 xml:space="preserve">ВОПРОС </w:t>
      </w:r>
      <w:r w:rsidR="00993635" w:rsidRPr="00993635">
        <w:rPr>
          <w:rFonts w:eastAsia="Times New Roman"/>
          <w:b/>
          <w:bCs/>
          <w:color w:val="000000"/>
          <w:shd w:val="clear" w:color="auto" w:fill="FFFFFF"/>
          <w:lang w:val="ru-RU"/>
        </w:rPr>
        <w:t>3. Екатерина Игоревна Б.</w:t>
      </w:r>
    </w:p>
    <w:p w14:paraId="03B02AEE" w14:textId="088E906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186BB18C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>В нашем Фонде в Пояснениях за 2024 год в Разделе «Существенные элементы учётной политики на 2024 год» одни из пунктов были прописаны так:</w:t>
      </w:r>
    </w:p>
    <w:p w14:paraId="76870D77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 xml:space="preserve"> В Фонде не применяются следующие положения по бухгалтерскому учету:</w:t>
      </w:r>
    </w:p>
    <w:p w14:paraId="361C849E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>- Положение по бухгалтерскому учету "События после отчетной даты" ПБУ 7/98, утвержденное Приказом Минфина России от 25 ноября 1998 г. N 56н;</w:t>
      </w:r>
    </w:p>
    <w:p w14:paraId="7F187AEF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>- Положение по бухгалтерскому учету "Учет государственной помощи" ПБУ 13/2000, утвержденное Приказом Минфина России от 16 октября 2000 г. N 92н;</w:t>
      </w:r>
    </w:p>
    <w:p w14:paraId="69312559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>- Положение по бухгалтерскому учету "Информация по сегментам" (ПБУ 12/2010), утвержденное Приказом Минфина России от 8 ноября 2010 г. N 143н;</w:t>
      </w:r>
    </w:p>
    <w:p w14:paraId="1D72B15C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>- Положение по бухгалтерскому учету "Информация о связанных сторонах" (ПБУ 11/2008), утвержденное Приказом Минфина России от 29 апреля 2008 г. N 48н;</w:t>
      </w:r>
    </w:p>
    <w:p w14:paraId="540ACAB9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993635">
        <w:rPr>
          <w:rFonts w:eastAsia="Times New Roman"/>
          <w:color w:val="EE0000"/>
          <w:shd w:val="clear" w:color="auto" w:fill="FFFFFF"/>
          <w:lang w:val="ru-RU"/>
        </w:rPr>
        <w:t>- Положение по бухгалтерскому учету "Учет расчетов по налогу на прибыль организаций" ПБУ 18/02, утвержденного Приказом Минфина России от 19 ноября 2002 г. N 114н.;</w:t>
      </w:r>
    </w:p>
    <w:p w14:paraId="3D0FECCE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EE0000"/>
          <w:shd w:val="clear" w:color="auto" w:fill="FFFFFF"/>
          <w:lang w:val="ru-RU"/>
        </w:rPr>
      </w:pPr>
      <w:r w:rsidRPr="0055143C">
        <w:rPr>
          <w:rFonts w:eastAsia="Times New Roman"/>
          <w:color w:val="EE0000"/>
          <w:highlight w:val="yellow"/>
          <w:shd w:val="clear" w:color="auto" w:fill="FFFFFF"/>
          <w:lang w:val="ru-RU"/>
        </w:rPr>
        <w:t>- Положение по бухгалтерскому учету «Отчет о движении денежных средств» (ПБУ 23/2011), утвержденного Приказом Минфина России от 02.02.2011 N 11н).</w:t>
      </w:r>
    </w:p>
    <w:p w14:paraId="26FC6D42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i/>
          <w:iCs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i/>
          <w:iCs/>
          <w:color w:val="000000"/>
          <w:shd w:val="clear" w:color="auto" w:fill="FFFFFF"/>
          <w:lang w:val="ru-RU"/>
        </w:rPr>
        <w:t xml:space="preserve">2. </w:t>
      </w:r>
      <w:r w:rsidRPr="0055143C">
        <w:rPr>
          <w:rFonts w:eastAsia="Times New Roman"/>
          <w:i/>
          <w:iCs/>
          <w:color w:val="000000"/>
          <w:highlight w:val="yellow"/>
          <w:shd w:val="clear" w:color="auto" w:fill="FFFFFF"/>
          <w:lang w:val="ru-RU"/>
        </w:rPr>
        <w:t>При составлении бухгалтерской отчетности Фонд руководствуется Приказом Минфина от 02.07.2010 № 66н «О формах бухгалтерской отчетности организаций».</w:t>
      </w:r>
    </w:p>
    <w:p w14:paraId="3CF84F53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i/>
          <w:iCs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i/>
          <w:iCs/>
          <w:color w:val="000000"/>
          <w:shd w:val="clear" w:color="auto" w:fill="FFFFFF"/>
          <w:lang w:val="ru-RU"/>
        </w:rPr>
        <w:t>В форме «Бухгалтерский баланс» в разделе «Капитал и резервы» вместо групп статей «Уставный капитал» и «Резервный капитал» Фонд включает группу статей «Целевое финансирование».</w:t>
      </w:r>
    </w:p>
    <w:p w14:paraId="1D07EE88" w14:textId="77777777" w:rsidR="00993635" w:rsidRP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55143C">
        <w:rPr>
          <w:rFonts w:eastAsia="Times New Roman"/>
          <w:color w:val="000000"/>
          <w:highlight w:val="yellow"/>
          <w:shd w:val="clear" w:color="auto" w:fill="FFFFFF"/>
          <w:lang w:val="ru-RU"/>
        </w:rPr>
        <w:t>В связи с введением в действие ФСБУ 4/2023 «Бухгалтерская (финансовая) отчётность» подпункты, выделенные красным цветом, убираем из Пояснений?</w:t>
      </w:r>
    </w:p>
    <w:p w14:paraId="7A0260A9" w14:textId="34153AF3" w:rsidR="00993635" w:rsidRDefault="00993635" w:rsidP="00964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 w:rsidRPr="00993635">
        <w:rPr>
          <w:rFonts w:eastAsia="Times New Roman"/>
          <w:color w:val="000000"/>
          <w:shd w:val="clear" w:color="auto" w:fill="FFFFFF"/>
          <w:lang w:val="ru-RU"/>
        </w:rPr>
        <w:t xml:space="preserve">И пункт 2. в Пояснениях будет прописан так: «При составлении бухгалтерской отчётности Фонд руководствуется ФСБУ 4/2023. </w:t>
      </w:r>
      <w:r w:rsidRPr="00B91AFC">
        <w:rPr>
          <w:rFonts w:eastAsia="Times New Roman"/>
          <w:color w:val="EE0000"/>
          <w:shd w:val="clear" w:color="auto" w:fill="FFFFFF"/>
          <w:lang w:val="ru-RU"/>
        </w:rPr>
        <w:t>В форме «Бухгалтерский баланс» в разделе «Капитал и резервы» вместо групп статей «Уставный капитал» и «Резервный капитал» Фонд включает группу статей «Целевое финансирование»?</w:t>
      </w:r>
    </w:p>
    <w:p w14:paraId="15CD256E" w14:textId="77777777" w:rsidR="00993635" w:rsidRDefault="00993635" w:rsidP="0099363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79174335" w14:textId="73E64A96" w:rsidR="00993635" w:rsidRPr="00F33BE7" w:rsidRDefault="00F33BE7" w:rsidP="00993635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F33BE7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ФСБУ 4/2023 </w:t>
      </w:r>
    </w:p>
    <w:p w14:paraId="2F7B1521" w14:textId="37992E3D" w:rsidR="00F33BE7" w:rsidRPr="00F33BE7" w:rsidRDefault="00F33BE7" w:rsidP="00F33BE7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F33BE7">
        <w:rPr>
          <w:rFonts w:eastAsia="Times New Roman"/>
          <w:b/>
          <w:bCs/>
          <w:color w:val="000000"/>
          <w:shd w:val="clear" w:color="auto" w:fill="FFFFFF"/>
          <w:lang w:val="ru-RU"/>
        </w:rPr>
        <w:t>III. Состав и содержание информации, раскрываемой</w:t>
      </w:r>
      <w:r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</w:t>
      </w:r>
      <w:r w:rsidRPr="00F33BE7">
        <w:rPr>
          <w:rFonts w:eastAsia="Times New Roman"/>
          <w:b/>
          <w:bCs/>
          <w:color w:val="000000"/>
          <w:shd w:val="clear" w:color="auto" w:fill="FFFFFF"/>
          <w:lang w:val="ru-RU"/>
        </w:rPr>
        <w:t>в бухгалтерской отчетности</w:t>
      </w:r>
    </w:p>
    <w:p w14:paraId="6496A1F2" w14:textId="77777777" w:rsidR="00F33BE7" w:rsidRPr="00F33BE7" w:rsidRDefault="00F33BE7" w:rsidP="00F33BE7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F33BE7">
        <w:rPr>
          <w:rFonts w:eastAsia="Times New Roman"/>
          <w:b/>
          <w:bCs/>
          <w:color w:val="000000"/>
          <w:shd w:val="clear" w:color="auto" w:fill="FFFFFF"/>
          <w:lang w:val="ru-RU"/>
        </w:rPr>
        <w:t>Бухгалтерский баланс</w:t>
      </w:r>
    </w:p>
    <w:p w14:paraId="71F8355D" w14:textId="0FC02000" w:rsidR="007A6AAC" w:rsidRDefault="007A6AAC" w:rsidP="00F33BE7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sz w:val="22"/>
          <w:szCs w:val="22"/>
        </w:rPr>
      </w:pPr>
      <w:r w:rsidRPr="007A6AAC">
        <w:rPr>
          <w:rFonts w:ascii="Arial" w:hAnsi="Arial" w:cs="Arial"/>
          <w:sz w:val="22"/>
          <w:szCs w:val="22"/>
        </w:rPr>
        <w:t xml:space="preserve">9. Представление о финансовом положении экономического субъекта на отчетную дату обеспечивается раскрытием в бухгалтерском балансе, </w:t>
      </w:r>
      <w:r w:rsidRPr="00B73F2D">
        <w:rPr>
          <w:rFonts w:ascii="Arial" w:hAnsi="Arial" w:cs="Arial"/>
          <w:b/>
          <w:bCs/>
          <w:sz w:val="22"/>
          <w:szCs w:val="22"/>
        </w:rPr>
        <w:t>как минимум</w:t>
      </w:r>
      <w:r w:rsidRPr="007A6AAC">
        <w:rPr>
          <w:rFonts w:ascii="Arial" w:hAnsi="Arial" w:cs="Arial"/>
          <w:sz w:val="22"/>
          <w:szCs w:val="22"/>
        </w:rPr>
        <w:t xml:space="preserve">, показателей: нематериальных активов; основных средств; инвестиционной недвижимости; отложенных налоговых активов; финансовых вложений; запасов; долгосрочных активов к продаже; налога на добавленную стоимость по приобретенным ценностям; дебиторской задолженности; денежных средств и денежных эквивалентов; </w:t>
      </w:r>
      <w:r w:rsidRPr="00B73F2D">
        <w:rPr>
          <w:rFonts w:ascii="Arial" w:hAnsi="Arial" w:cs="Arial"/>
          <w:b/>
          <w:bCs/>
          <w:sz w:val="22"/>
          <w:szCs w:val="22"/>
        </w:rPr>
        <w:t>капитала (в коммерческих организациях)/целевого финансирования (в некоммерческих организациях)</w:t>
      </w:r>
      <w:r w:rsidRPr="007A6AAC">
        <w:rPr>
          <w:rFonts w:ascii="Arial" w:hAnsi="Arial" w:cs="Arial"/>
          <w:sz w:val="22"/>
          <w:szCs w:val="22"/>
        </w:rPr>
        <w:t>; заемных средств; кредиторской задолженности; отложенных налоговых обязательств; оценочных обязательств.</w:t>
      </w:r>
    </w:p>
    <w:p w14:paraId="1DF4BF24" w14:textId="65AD8DAA" w:rsidR="00F33BE7" w:rsidRPr="00F33BE7" w:rsidRDefault="00F33BE7" w:rsidP="00F33BE7">
      <w:pPr>
        <w:pStyle w:val="a6"/>
        <w:spacing w:before="0" w:beforeAutospacing="0" w:after="0" w:afterAutospacing="0" w:line="288" w:lineRule="atLeast"/>
        <w:ind w:firstLine="540"/>
        <w:jc w:val="both"/>
        <w:rPr>
          <w:rFonts w:ascii="Arial" w:hAnsi="Arial" w:cs="Arial"/>
          <w:sz w:val="22"/>
          <w:szCs w:val="22"/>
        </w:rPr>
      </w:pPr>
      <w:r w:rsidRPr="00F33BE7">
        <w:rPr>
          <w:rFonts w:ascii="Arial" w:hAnsi="Arial" w:cs="Arial"/>
          <w:sz w:val="22"/>
          <w:szCs w:val="22"/>
        </w:rPr>
        <w:lastRenderedPageBreak/>
        <w:t xml:space="preserve">22. Показатели целевого финансирования приводятся некоммерческой организацией </w:t>
      </w:r>
      <w:r w:rsidRPr="00F33BE7">
        <w:rPr>
          <w:rFonts w:ascii="Arial" w:hAnsi="Arial" w:cs="Arial"/>
          <w:b/>
          <w:bCs/>
          <w:sz w:val="22"/>
          <w:szCs w:val="22"/>
        </w:rPr>
        <w:t>в разделе "Целевое финансирование"</w:t>
      </w:r>
      <w:r w:rsidRPr="00F33BE7">
        <w:rPr>
          <w:rFonts w:ascii="Arial" w:hAnsi="Arial" w:cs="Arial"/>
          <w:sz w:val="22"/>
          <w:szCs w:val="22"/>
        </w:rPr>
        <w:t xml:space="preserve"> бухгалтерского баланса. Состав показателей целевого финансирования определяется некоммерческой организацией самостоятельно в зависимости от организационно-правовой формы, источников финансирования деятельности и может включать, в частности, показатели: паевого фонда; целевого капитала; целевых средств; фонда недвижимого и особо ценного движимого имущества; резервного фонда; прочих целевых фондов.</w:t>
      </w:r>
    </w:p>
    <w:p w14:paraId="5A7F1A34" w14:textId="77777777" w:rsidR="00F33BE7" w:rsidRDefault="00F33BE7" w:rsidP="0099363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48DBD207" w14:textId="4B9A81C9" w:rsidR="001C7FE5" w:rsidRDefault="001C7FE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04BF004E" w14:textId="4CD56A28" w:rsidR="001C7FE5" w:rsidRPr="001C7FE5" w:rsidRDefault="001C7FE5" w:rsidP="001C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1C7FE5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>ВОПРОС 4. Лариса Борисовна Е.</w:t>
      </w:r>
    </w:p>
    <w:p w14:paraId="0171E898" w14:textId="601549B7" w:rsidR="00993635" w:rsidRDefault="001C7FE5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1C7FE5">
        <w:rPr>
          <w:rFonts w:eastAsia="Times New Roman"/>
          <w:color w:val="000000"/>
          <w:shd w:val="clear" w:color="auto" w:fill="FFFFFF"/>
          <w:lang w:val="ru-RU"/>
        </w:rPr>
        <w:t>В учете на счете 04 в активе баланса отражена стоимость объекта НМА с неопределенным сроком полезного использования (сайт). Амортизация не начисляется. В пассиве эта же сумма отражена по счету 83. Организация имеет право на упрощенный учет, НМА не проверяются на обесценение, затраты на приобретение, улучшение НМА включаются в состав расходов. Таким образом, сумма на счетах 04 и 83 отражается без изменений в течение последующих отчетных периодов до того момента, пока сайт не перестанет приносить экономическую выгоду?</w:t>
      </w:r>
    </w:p>
    <w:p w14:paraId="1AC62452" w14:textId="77777777" w:rsidR="002F20FE" w:rsidRDefault="002F20FE" w:rsidP="003D24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</w:p>
    <w:p w14:paraId="11A6499F" w14:textId="240EC044" w:rsidR="00DE66D5" w:rsidRPr="00DE66D5" w:rsidRDefault="00DE66D5" w:rsidP="00DE66D5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Под НМА с </w:t>
      </w:r>
      <w:r w:rsidRPr="00DE66D5">
        <w:rPr>
          <w:rFonts w:eastAsia="Times New Roman"/>
          <w:b/>
          <w:bCs/>
          <w:color w:val="000000"/>
          <w:shd w:val="clear" w:color="auto" w:fill="FFFFFF"/>
          <w:lang w:val="ru-RU"/>
        </w:rPr>
        <w:t>неопределенным сроком полезного использования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 понимают объекты, по которым невозможно надежно определить 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срок полезного использования 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>(</w:t>
      </w:r>
      <w:r>
        <w:rPr>
          <w:rFonts w:eastAsia="Times New Roman"/>
          <w:color w:val="000000"/>
          <w:shd w:val="clear" w:color="auto" w:fill="FFFFFF"/>
          <w:lang w:val="ru-RU"/>
        </w:rPr>
        <w:t xml:space="preserve">далее – 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>СПИ</w:t>
      </w:r>
      <w:r>
        <w:rPr>
          <w:rFonts w:eastAsia="Times New Roman"/>
          <w:color w:val="000000"/>
          <w:shd w:val="clear" w:color="auto" w:fill="FFFFFF"/>
          <w:lang w:val="ru-RU"/>
        </w:rPr>
        <w:t>)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: </w:t>
      </w:r>
    </w:p>
    <w:p w14:paraId="7035B532" w14:textId="46C392E5" w:rsidR="00DE66D5" w:rsidRPr="00A60D60" w:rsidRDefault="00DE66D5" w:rsidP="00DE66D5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- анализ всех уместных факторов указывает </w:t>
      </w:r>
      <w:r w:rsidRPr="00DE66D5">
        <w:rPr>
          <w:rFonts w:eastAsia="Times New Roman"/>
          <w:b/>
          <w:bCs/>
          <w:color w:val="000000"/>
          <w:shd w:val="clear" w:color="auto" w:fill="FFFFFF"/>
          <w:lang w:val="ru-RU"/>
        </w:rPr>
        <w:t>на отсутствие предсказуемых ограничений периода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, на протяжении которого </w:t>
      </w:r>
      <w:r>
        <w:rPr>
          <w:rFonts w:eastAsia="Times New Roman"/>
          <w:color w:val="000000"/>
          <w:shd w:val="clear" w:color="auto" w:fill="FFFFFF"/>
          <w:lang w:val="ru-RU"/>
        </w:rPr>
        <w:t>возможно</w:t>
      </w:r>
      <w:r w:rsidRPr="00DE66D5">
        <w:rPr>
          <w:rFonts w:eastAsia="Times New Roman"/>
          <w:color w:val="000000"/>
          <w:shd w:val="clear" w:color="auto" w:fill="FFFFFF"/>
          <w:lang w:val="ru-RU"/>
        </w:rPr>
        <w:t xml:space="preserve"> использовать такой актив и получать от этого экономические выгоды (п. 33 ФСБУ 14/2022, </w:t>
      </w:r>
      <w:proofErr w:type="spellStart"/>
      <w:r w:rsidRPr="00DE66D5">
        <w:rPr>
          <w:rFonts w:eastAsia="Times New Roman"/>
          <w:color w:val="000000"/>
          <w:shd w:val="clear" w:color="auto" w:fill="FFFFFF"/>
          <w:lang w:val="ru-RU"/>
        </w:rPr>
        <w:t>пп</w:t>
      </w:r>
      <w:proofErr w:type="spellEnd"/>
      <w:r w:rsidRPr="00DE66D5">
        <w:rPr>
          <w:rFonts w:eastAsia="Times New Roman"/>
          <w:color w:val="000000"/>
          <w:shd w:val="clear" w:color="auto" w:fill="FFFFFF"/>
          <w:lang w:val="ru-RU"/>
        </w:rPr>
        <w:t>. "а" п. 7.1 ПБУ 1/2008 "Учетная политика организации", п. 88 МСФО (IAS) 38 "Нематериальные активы").</w:t>
      </w:r>
    </w:p>
    <w:p w14:paraId="4173ED98" w14:textId="176EB351" w:rsidR="00DE66D5" w:rsidRPr="00A60D60" w:rsidRDefault="00DE66D5" w:rsidP="00DE66D5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DE66D5">
        <w:rPr>
          <w:rFonts w:eastAsia="Times New Roman"/>
          <w:color w:val="000000"/>
          <w:shd w:val="clear" w:color="auto" w:fill="FFFFFF"/>
          <w:lang w:val="ru-RU"/>
        </w:rPr>
        <w:t>Эти НМА необходимо проверять на возможность определения СПИ ежегодно (в конце отчетного периода), а также при наступлении фактов, свидетельствующих о появлении такой возможности.</w:t>
      </w:r>
    </w:p>
    <w:p w14:paraId="34A22E06" w14:textId="48716672" w:rsidR="001C7FE5" w:rsidRDefault="00DE66D5" w:rsidP="00DE66D5">
      <w:pP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DE66D5">
        <w:rPr>
          <w:rFonts w:eastAsia="Times New Roman"/>
          <w:color w:val="000000"/>
          <w:shd w:val="clear" w:color="auto" w:fill="FFFFFF"/>
          <w:lang w:val="ru-RU"/>
        </w:rPr>
        <w:t>С того периода, в котором вы смогли определить СПИ, начинайте начислять амортизацию (п. 33 ФСБУ 14/2022).</w:t>
      </w:r>
    </w:p>
    <w:p w14:paraId="57DEB1C2" w14:textId="77777777" w:rsidR="001C7FE5" w:rsidRDefault="001C7FE5" w:rsidP="001C7FE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</w:p>
    <w:p w14:paraId="2A7F6BF7" w14:textId="755DBAFE" w:rsidR="001C7FE5" w:rsidRDefault="001C7FE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br w:type="page"/>
      </w:r>
    </w:p>
    <w:p w14:paraId="458BEA3A" w14:textId="1AD1DE90" w:rsidR="001C7FE5" w:rsidRPr="001C7FE5" w:rsidRDefault="001C7FE5" w:rsidP="001C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1C7FE5">
        <w:rPr>
          <w:rFonts w:eastAsia="Times New Roman"/>
          <w:b/>
          <w:bCs/>
          <w:color w:val="000000"/>
          <w:shd w:val="clear" w:color="auto" w:fill="FFFFFF"/>
          <w:lang w:val="ru-RU"/>
        </w:rPr>
        <w:lastRenderedPageBreak/>
        <w:t>ВОПРО</w:t>
      </w:r>
      <w:r>
        <w:rPr>
          <w:rFonts w:eastAsia="Times New Roman"/>
          <w:b/>
          <w:bCs/>
          <w:color w:val="000000"/>
          <w:shd w:val="clear" w:color="auto" w:fill="FFFFFF"/>
          <w:lang w:val="ru-RU"/>
        </w:rPr>
        <w:t>С</w:t>
      </w:r>
      <w:r w:rsidRPr="001C7FE5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5. Ляйсан </w:t>
      </w:r>
      <w:proofErr w:type="spellStart"/>
      <w:r w:rsidRPr="001C7FE5">
        <w:rPr>
          <w:rFonts w:eastAsia="Times New Roman"/>
          <w:b/>
          <w:bCs/>
          <w:color w:val="000000"/>
          <w:shd w:val="clear" w:color="auto" w:fill="FFFFFF"/>
          <w:lang w:val="ru-RU"/>
        </w:rPr>
        <w:t>Зафировна</w:t>
      </w:r>
      <w:proofErr w:type="spellEnd"/>
      <w:r w:rsidRPr="001C7FE5">
        <w:rPr>
          <w:rFonts w:eastAsia="Times New Roman"/>
          <w:b/>
          <w:bCs/>
          <w:color w:val="000000"/>
          <w:shd w:val="clear" w:color="auto" w:fill="FFFFFF"/>
          <w:lang w:val="ru-RU"/>
        </w:rPr>
        <w:t xml:space="preserve"> Н.</w:t>
      </w:r>
    </w:p>
    <w:p w14:paraId="226BE930" w14:textId="77777777" w:rsidR="001C7FE5" w:rsidRPr="001C7FE5" w:rsidRDefault="001C7FE5" w:rsidP="001C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1C7FE5">
        <w:rPr>
          <w:rFonts w:eastAsia="Times New Roman"/>
          <w:color w:val="000000"/>
          <w:shd w:val="clear" w:color="auto" w:fill="FFFFFF"/>
          <w:lang w:val="ru-RU"/>
        </w:rPr>
        <w:t>Вопросы по ведению учета.</w:t>
      </w:r>
    </w:p>
    <w:p w14:paraId="27DBA16E" w14:textId="29B4ECE7" w:rsidR="001C7FE5" w:rsidRDefault="001C7FE5" w:rsidP="001C7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eastAsia="Times New Roman"/>
          <w:color w:val="000000"/>
          <w:shd w:val="clear" w:color="auto" w:fill="FFFFFF"/>
          <w:lang w:val="ru-RU"/>
        </w:rPr>
      </w:pPr>
      <w:r w:rsidRPr="001C7FE5">
        <w:rPr>
          <w:rFonts w:eastAsia="Times New Roman"/>
          <w:color w:val="000000"/>
          <w:shd w:val="clear" w:color="auto" w:fill="FFFFFF"/>
          <w:lang w:val="ru-RU"/>
        </w:rPr>
        <w:t>1) При поступлении пожертвований через сайт по кнопке (эквай</w:t>
      </w:r>
      <w:r w:rsidR="00A60D60">
        <w:rPr>
          <w:rFonts w:eastAsia="Times New Roman"/>
          <w:color w:val="000000"/>
          <w:shd w:val="clear" w:color="auto" w:fill="FFFFFF"/>
          <w:lang w:val="ru-RU"/>
        </w:rPr>
        <w:t>е</w:t>
      </w:r>
      <w:r w:rsidRPr="001C7FE5">
        <w:rPr>
          <w:rFonts w:eastAsia="Times New Roman"/>
          <w:color w:val="000000"/>
          <w:shd w:val="clear" w:color="auto" w:fill="FFFFFF"/>
          <w:lang w:val="ru-RU"/>
        </w:rPr>
        <w:t>р). Имеется договор с НКО "</w:t>
      </w:r>
      <w:proofErr w:type="spellStart"/>
      <w:r w:rsidRPr="001C7FE5">
        <w:rPr>
          <w:rFonts w:eastAsia="Times New Roman"/>
          <w:color w:val="000000"/>
          <w:shd w:val="clear" w:color="auto" w:fill="FFFFFF"/>
          <w:lang w:val="ru-RU"/>
        </w:rPr>
        <w:t>Юмани</w:t>
      </w:r>
      <w:proofErr w:type="spellEnd"/>
      <w:r w:rsidRPr="001C7FE5">
        <w:rPr>
          <w:rFonts w:eastAsia="Times New Roman"/>
          <w:color w:val="000000"/>
          <w:shd w:val="clear" w:color="auto" w:fill="FFFFFF"/>
          <w:lang w:val="ru-RU"/>
        </w:rPr>
        <w:t>", на счет приходят пожертвования за минусом комиссии, в этом году впервые по ЭДО пришел УПД на сумму комиссии с НДС. Мы на УСН доход, социально ориентированные, НДС не платим. Раньше такие поступления принимали как пожертвование Д-т 51 К-т 86 с аналитикой на уставную деятельность НКО. Сумму комиссий взятых "</w:t>
      </w:r>
      <w:proofErr w:type="spellStart"/>
      <w:r w:rsidRPr="001C7FE5">
        <w:rPr>
          <w:rFonts w:eastAsia="Times New Roman"/>
          <w:color w:val="000000"/>
          <w:shd w:val="clear" w:color="auto" w:fill="FFFFFF"/>
          <w:lang w:val="ru-RU"/>
        </w:rPr>
        <w:t>Юмани</w:t>
      </w:r>
      <w:proofErr w:type="spellEnd"/>
      <w:r w:rsidRPr="001C7FE5">
        <w:rPr>
          <w:rFonts w:eastAsia="Times New Roman"/>
          <w:color w:val="000000"/>
          <w:shd w:val="clear" w:color="auto" w:fill="FFFFFF"/>
          <w:lang w:val="ru-RU"/>
        </w:rPr>
        <w:t>" в учете не показывали. В связи с поступлением УПД от "</w:t>
      </w:r>
      <w:proofErr w:type="spellStart"/>
      <w:r w:rsidRPr="001C7FE5">
        <w:rPr>
          <w:rFonts w:eastAsia="Times New Roman"/>
          <w:color w:val="000000"/>
          <w:shd w:val="clear" w:color="auto" w:fill="FFFFFF"/>
          <w:lang w:val="ru-RU"/>
        </w:rPr>
        <w:t>Юмани</w:t>
      </w:r>
      <w:proofErr w:type="spellEnd"/>
      <w:r w:rsidRPr="001C7FE5">
        <w:rPr>
          <w:rFonts w:eastAsia="Times New Roman"/>
          <w:color w:val="000000"/>
          <w:shd w:val="clear" w:color="auto" w:fill="FFFFFF"/>
          <w:lang w:val="ru-RU"/>
        </w:rPr>
        <w:t>" как-то нужно показать затраты на комиссию, какими проводками должно все это отражаться в бух учете? И какие суммы должны быть при проводках? Полные или за вычетом комиссии?</w:t>
      </w:r>
    </w:p>
    <w:p w14:paraId="33AD961B" w14:textId="1481C179" w:rsidR="001C7FE5" w:rsidRPr="00306060" w:rsidRDefault="00306060" w:rsidP="001C7FE5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306060">
        <w:rPr>
          <w:rFonts w:eastAsia="Times New Roman"/>
          <w:b/>
          <w:bCs/>
          <w:color w:val="000000"/>
          <w:shd w:val="clear" w:color="auto" w:fill="FFFFFF"/>
          <w:lang w:val="ru-RU"/>
        </w:rPr>
        <w:t>В момент оплаты жертвователем</w:t>
      </w:r>
    </w:p>
    <w:p w14:paraId="6AF340A2" w14:textId="1DFA5E63" w:rsidR="001C7FE5" w:rsidRDefault="001C7FE5" w:rsidP="001C7FE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Д57 (76) К86 Начислено целевое финансирование</w:t>
      </w:r>
    </w:p>
    <w:p w14:paraId="31BC4A50" w14:textId="75DD5DF6" w:rsidR="00306060" w:rsidRPr="00306060" w:rsidRDefault="00306060" w:rsidP="008A251D">
      <w:pPr>
        <w:spacing w:after="160" w:line="259" w:lineRule="auto"/>
        <w:rPr>
          <w:rFonts w:eastAsia="Times New Roman"/>
          <w:b/>
          <w:bCs/>
          <w:color w:val="000000"/>
          <w:shd w:val="clear" w:color="auto" w:fill="FFFFFF"/>
          <w:lang w:val="ru-RU"/>
        </w:rPr>
      </w:pPr>
      <w:r w:rsidRPr="00306060">
        <w:rPr>
          <w:rFonts w:eastAsia="Times New Roman"/>
          <w:b/>
          <w:bCs/>
          <w:color w:val="000000"/>
          <w:shd w:val="clear" w:color="auto" w:fill="FFFFFF"/>
          <w:lang w:val="ru-RU"/>
        </w:rPr>
        <w:t>Поступление по платежным картам</w:t>
      </w:r>
    </w:p>
    <w:p w14:paraId="39C0A330" w14:textId="0B5E0A42" w:rsidR="008A251D" w:rsidRDefault="008A251D" w:rsidP="008A251D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>Д26 (86) К57 (76) Отражена комиссия эквайера, включая НДС</w:t>
      </w:r>
    </w:p>
    <w:p w14:paraId="244A0DCD" w14:textId="36412A54" w:rsidR="001C7FE5" w:rsidRDefault="001C7FE5" w:rsidP="001C7FE5">
      <w:pPr>
        <w:spacing w:after="160" w:line="259" w:lineRule="auto"/>
        <w:rPr>
          <w:rFonts w:eastAsia="Times New Roman"/>
          <w:color w:val="000000"/>
          <w:shd w:val="clear" w:color="auto" w:fill="FFFFFF"/>
          <w:lang w:val="ru-RU"/>
        </w:rPr>
      </w:pPr>
      <w:r>
        <w:rPr>
          <w:rFonts w:eastAsia="Times New Roman"/>
          <w:color w:val="000000"/>
          <w:shd w:val="clear" w:color="auto" w:fill="FFFFFF"/>
          <w:lang w:val="ru-RU"/>
        </w:rPr>
        <w:t xml:space="preserve">Д51 К57 (76) Поступление пожертвований на р/с </w:t>
      </w:r>
    </w:p>
    <w:sectPr w:rsidR="001C7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197"/>
    <w:multiLevelType w:val="multilevel"/>
    <w:tmpl w:val="EFFAF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0B41B6"/>
    <w:multiLevelType w:val="hybridMultilevel"/>
    <w:tmpl w:val="FFA4F836"/>
    <w:lvl w:ilvl="0" w:tplc="629430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9C32D3F"/>
    <w:multiLevelType w:val="hybridMultilevel"/>
    <w:tmpl w:val="E3F23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A4EF3"/>
    <w:multiLevelType w:val="multilevel"/>
    <w:tmpl w:val="F0A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686841">
    <w:abstractNumId w:val="2"/>
  </w:num>
  <w:num w:numId="2" w16cid:durableId="1341858979">
    <w:abstractNumId w:val="1"/>
  </w:num>
  <w:num w:numId="3" w16cid:durableId="1662661495">
    <w:abstractNumId w:val="0"/>
  </w:num>
  <w:num w:numId="4" w16cid:durableId="189045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3B"/>
    <w:rsid w:val="000032E7"/>
    <w:rsid w:val="00014950"/>
    <w:rsid w:val="0003464E"/>
    <w:rsid w:val="00037AEC"/>
    <w:rsid w:val="000472D2"/>
    <w:rsid w:val="00064444"/>
    <w:rsid w:val="000732EE"/>
    <w:rsid w:val="00073650"/>
    <w:rsid w:val="00075F75"/>
    <w:rsid w:val="00081D43"/>
    <w:rsid w:val="00094997"/>
    <w:rsid w:val="000B4D1F"/>
    <w:rsid w:val="000B6EA1"/>
    <w:rsid w:val="000C215A"/>
    <w:rsid w:val="000C5FC2"/>
    <w:rsid w:val="000C6DDA"/>
    <w:rsid w:val="000C7B7D"/>
    <w:rsid w:val="000D2839"/>
    <w:rsid w:val="000E0F5E"/>
    <w:rsid w:val="000E319F"/>
    <w:rsid w:val="000E73A9"/>
    <w:rsid w:val="000F0EDE"/>
    <w:rsid w:val="000F3AF3"/>
    <w:rsid w:val="0013038F"/>
    <w:rsid w:val="00144780"/>
    <w:rsid w:val="0015643B"/>
    <w:rsid w:val="00160B4D"/>
    <w:rsid w:val="0016216E"/>
    <w:rsid w:val="00170BEF"/>
    <w:rsid w:val="00172368"/>
    <w:rsid w:val="00172C59"/>
    <w:rsid w:val="001763EF"/>
    <w:rsid w:val="00184D9E"/>
    <w:rsid w:val="00187D80"/>
    <w:rsid w:val="00191669"/>
    <w:rsid w:val="001A106B"/>
    <w:rsid w:val="001B5F39"/>
    <w:rsid w:val="001B704D"/>
    <w:rsid w:val="001C7FE5"/>
    <w:rsid w:val="001D3FFD"/>
    <w:rsid w:val="001E128D"/>
    <w:rsid w:val="001E7E15"/>
    <w:rsid w:val="001F3364"/>
    <w:rsid w:val="001F3CF6"/>
    <w:rsid w:val="001F6557"/>
    <w:rsid w:val="001F7BB3"/>
    <w:rsid w:val="00234EB1"/>
    <w:rsid w:val="00241814"/>
    <w:rsid w:val="00244FD2"/>
    <w:rsid w:val="002478CB"/>
    <w:rsid w:val="00260D23"/>
    <w:rsid w:val="00261AFB"/>
    <w:rsid w:val="00267D8E"/>
    <w:rsid w:val="00276B73"/>
    <w:rsid w:val="00276C28"/>
    <w:rsid w:val="00293346"/>
    <w:rsid w:val="002B012D"/>
    <w:rsid w:val="002C3CF9"/>
    <w:rsid w:val="002C6D9C"/>
    <w:rsid w:val="002D7B4F"/>
    <w:rsid w:val="002D7EB6"/>
    <w:rsid w:val="002D7ED5"/>
    <w:rsid w:val="002F20FE"/>
    <w:rsid w:val="00303003"/>
    <w:rsid w:val="00306060"/>
    <w:rsid w:val="003123FF"/>
    <w:rsid w:val="003217D5"/>
    <w:rsid w:val="003261EA"/>
    <w:rsid w:val="00333B04"/>
    <w:rsid w:val="00341349"/>
    <w:rsid w:val="00357040"/>
    <w:rsid w:val="00360041"/>
    <w:rsid w:val="003623B0"/>
    <w:rsid w:val="003719A7"/>
    <w:rsid w:val="00380F32"/>
    <w:rsid w:val="00392CB9"/>
    <w:rsid w:val="003972B9"/>
    <w:rsid w:val="003B0928"/>
    <w:rsid w:val="003B5F4B"/>
    <w:rsid w:val="003B5FC0"/>
    <w:rsid w:val="003C3569"/>
    <w:rsid w:val="003C5238"/>
    <w:rsid w:val="003D24E7"/>
    <w:rsid w:val="003E2587"/>
    <w:rsid w:val="003E2F5B"/>
    <w:rsid w:val="003E3124"/>
    <w:rsid w:val="003F2691"/>
    <w:rsid w:val="00404908"/>
    <w:rsid w:val="00406211"/>
    <w:rsid w:val="00406F48"/>
    <w:rsid w:val="00412CBE"/>
    <w:rsid w:val="00414763"/>
    <w:rsid w:val="00414AF3"/>
    <w:rsid w:val="00433875"/>
    <w:rsid w:val="00442C6C"/>
    <w:rsid w:val="00445446"/>
    <w:rsid w:val="00445DA7"/>
    <w:rsid w:val="004472AD"/>
    <w:rsid w:val="00467C7C"/>
    <w:rsid w:val="004870B1"/>
    <w:rsid w:val="0049367B"/>
    <w:rsid w:val="0049516C"/>
    <w:rsid w:val="0049720E"/>
    <w:rsid w:val="004A436A"/>
    <w:rsid w:val="004B3996"/>
    <w:rsid w:val="004B6FA2"/>
    <w:rsid w:val="004E0A69"/>
    <w:rsid w:val="0050095C"/>
    <w:rsid w:val="00504885"/>
    <w:rsid w:val="005214C9"/>
    <w:rsid w:val="00525FA3"/>
    <w:rsid w:val="0053296A"/>
    <w:rsid w:val="0055143C"/>
    <w:rsid w:val="00554C34"/>
    <w:rsid w:val="0056035F"/>
    <w:rsid w:val="00562023"/>
    <w:rsid w:val="00562B1C"/>
    <w:rsid w:val="0058599F"/>
    <w:rsid w:val="00586227"/>
    <w:rsid w:val="00586D3C"/>
    <w:rsid w:val="005957E4"/>
    <w:rsid w:val="005A105B"/>
    <w:rsid w:val="005B20AA"/>
    <w:rsid w:val="005B4E69"/>
    <w:rsid w:val="005B569A"/>
    <w:rsid w:val="005B642C"/>
    <w:rsid w:val="005C3BF3"/>
    <w:rsid w:val="0060207D"/>
    <w:rsid w:val="00621F84"/>
    <w:rsid w:val="00622F90"/>
    <w:rsid w:val="00625DEB"/>
    <w:rsid w:val="006375B4"/>
    <w:rsid w:val="00645033"/>
    <w:rsid w:val="00646F6F"/>
    <w:rsid w:val="00647C6C"/>
    <w:rsid w:val="00650573"/>
    <w:rsid w:val="006533D1"/>
    <w:rsid w:val="00672730"/>
    <w:rsid w:val="00683EB4"/>
    <w:rsid w:val="0068654F"/>
    <w:rsid w:val="006900FF"/>
    <w:rsid w:val="00695C65"/>
    <w:rsid w:val="006974D4"/>
    <w:rsid w:val="006C71B8"/>
    <w:rsid w:val="006D47E2"/>
    <w:rsid w:val="006F076C"/>
    <w:rsid w:val="006F5A50"/>
    <w:rsid w:val="00703AB1"/>
    <w:rsid w:val="00704433"/>
    <w:rsid w:val="00717F3D"/>
    <w:rsid w:val="0072105F"/>
    <w:rsid w:val="00722C43"/>
    <w:rsid w:val="0073190F"/>
    <w:rsid w:val="0073709C"/>
    <w:rsid w:val="007479C3"/>
    <w:rsid w:val="007556ED"/>
    <w:rsid w:val="00760275"/>
    <w:rsid w:val="0076410B"/>
    <w:rsid w:val="00766E74"/>
    <w:rsid w:val="00777EAE"/>
    <w:rsid w:val="007A4638"/>
    <w:rsid w:val="007A6AAC"/>
    <w:rsid w:val="007B7A3A"/>
    <w:rsid w:val="007D1337"/>
    <w:rsid w:val="007E5C45"/>
    <w:rsid w:val="007E5CAD"/>
    <w:rsid w:val="0080423B"/>
    <w:rsid w:val="00810161"/>
    <w:rsid w:val="00831974"/>
    <w:rsid w:val="008508BE"/>
    <w:rsid w:val="00851DF7"/>
    <w:rsid w:val="008546E9"/>
    <w:rsid w:val="00872D00"/>
    <w:rsid w:val="008737FD"/>
    <w:rsid w:val="00873A1D"/>
    <w:rsid w:val="008741BF"/>
    <w:rsid w:val="0088002B"/>
    <w:rsid w:val="0088350A"/>
    <w:rsid w:val="008A251D"/>
    <w:rsid w:val="008C7AC1"/>
    <w:rsid w:val="008D6F8E"/>
    <w:rsid w:val="008E0CCD"/>
    <w:rsid w:val="008E51CD"/>
    <w:rsid w:val="00902BE3"/>
    <w:rsid w:val="00937E2D"/>
    <w:rsid w:val="0094098F"/>
    <w:rsid w:val="00960B1E"/>
    <w:rsid w:val="00961A69"/>
    <w:rsid w:val="009641A6"/>
    <w:rsid w:val="00967376"/>
    <w:rsid w:val="009811F5"/>
    <w:rsid w:val="00984949"/>
    <w:rsid w:val="00993635"/>
    <w:rsid w:val="009953F3"/>
    <w:rsid w:val="00995759"/>
    <w:rsid w:val="009C4F6A"/>
    <w:rsid w:val="009C7A12"/>
    <w:rsid w:val="009E4C9C"/>
    <w:rsid w:val="009F5774"/>
    <w:rsid w:val="00A068FB"/>
    <w:rsid w:val="00A16F9C"/>
    <w:rsid w:val="00A2047C"/>
    <w:rsid w:val="00A445FB"/>
    <w:rsid w:val="00A47758"/>
    <w:rsid w:val="00A54769"/>
    <w:rsid w:val="00A55C2A"/>
    <w:rsid w:val="00A60D60"/>
    <w:rsid w:val="00A60EC1"/>
    <w:rsid w:val="00A60F60"/>
    <w:rsid w:val="00A754AC"/>
    <w:rsid w:val="00A75F08"/>
    <w:rsid w:val="00A84E95"/>
    <w:rsid w:val="00A876BD"/>
    <w:rsid w:val="00AA63F6"/>
    <w:rsid w:val="00AA68C8"/>
    <w:rsid w:val="00B00CE3"/>
    <w:rsid w:val="00B021E7"/>
    <w:rsid w:val="00B02CCF"/>
    <w:rsid w:val="00B14A46"/>
    <w:rsid w:val="00B25A5D"/>
    <w:rsid w:val="00B33834"/>
    <w:rsid w:val="00B33AD8"/>
    <w:rsid w:val="00B3689F"/>
    <w:rsid w:val="00B44C3E"/>
    <w:rsid w:val="00B502F9"/>
    <w:rsid w:val="00B5585A"/>
    <w:rsid w:val="00B56D8C"/>
    <w:rsid w:val="00B605C0"/>
    <w:rsid w:val="00B73F2D"/>
    <w:rsid w:val="00B83BF8"/>
    <w:rsid w:val="00B91AFC"/>
    <w:rsid w:val="00BA215B"/>
    <w:rsid w:val="00BB235F"/>
    <w:rsid w:val="00BC2F8C"/>
    <w:rsid w:val="00BC3D94"/>
    <w:rsid w:val="00BC5E72"/>
    <w:rsid w:val="00BD450B"/>
    <w:rsid w:val="00BE0D74"/>
    <w:rsid w:val="00BF0355"/>
    <w:rsid w:val="00BF23E2"/>
    <w:rsid w:val="00BF2A50"/>
    <w:rsid w:val="00BF454E"/>
    <w:rsid w:val="00C1023A"/>
    <w:rsid w:val="00C107C6"/>
    <w:rsid w:val="00C13DE0"/>
    <w:rsid w:val="00C16F40"/>
    <w:rsid w:val="00C220F9"/>
    <w:rsid w:val="00C34B4F"/>
    <w:rsid w:val="00C52964"/>
    <w:rsid w:val="00C61E10"/>
    <w:rsid w:val="00C62872"/>
    <w:rsid w:val="00C63F2E"/>
    <w:rsid w:val="00C7058C"/>
    <w:rsid w:val="00C97669"/>
    <w:rsid w:val="00CB74BE"/>
    <w:rsid w:val="00CC0C90"/>
    <w:rsid w:val="00CD3DAE"/>
    <w:rsid w:val="00CE7541"/>
    <w:rsid w:val="00CF6B07"/>
    <w:rsid w:val="00D052E3"/>
    <w:rsid w:val="00D2370C"/>
    <w:rsid w:val="00D273FE"/>
    <w:rsid w:val="00D31C80"/>
    <w:rsid w:val="00D351BE"/>
    <w:rsid w:val="00D40989"/>
    <w:rsid w:val="00D5109A"/>
    <w:rsid w:val="00D60757"/>
    <w:rsid w:val="00D67771"/>
    <w:rsid w:val="00D80F94"/>
    <w:rsid w:val="00D93C65"/>
    <w:rsid w:val="00DA14ED"/>
    <w:rsid w:val="00DB7A73"/>
    <w:rsid w:val="00DC100B"/>
    <w:rsid w:val="00DC4894"/>
    <w:rsid w:val="00DD3940"/>
    <w:rsid w:val="00DD43FD"/>
    <w:rsid w:val="00DD6874"/>
    <w:rsid w:val="00DE66D5"/>
    <w:rsid w:val="00E0087F"/>
    <w:rsid w:val="00E008AF"/>
    <w:rsid w:val="00E02898"/>
    <w:rsid w:val="00E30034"/>
    <w:rsid w:val="00E36982"/>
    <w:rsid w:val="00E41326"/>
    <w:rsid w:val="00E53E37"/>
    <w:rsid w:val="00E958D9"/>
    <w:rsid w:val="00EA3B13"/>
    <w:rsid w:val="00ED42D7"/>
    <w:rsid w:val="00ED4FDC"/>
    <w:rsid w:val="00EE5083"/>
    <w:rsid w:val="00F06AAF"/>
    <w:rsid w:val="00F1112E"/>
    <w:rsid w:val="00F14AA4"/>
    <w:rsid w:val="00F20F6B"/>
    <w:rsid w:val="00F33BE7"/>
    <w:rsid w:val="00F46D91"/>
    <w:rsid w:val="00F6312A"/>
    <w:rsid w:val="00F77BDC"/>
    <w:rsid w:val="00F80D76"/>
    <w:rsid w:val="00F91692"/>
    <w:rsid w:val="00F95DC2"/>
    <w:rsid w:val="00FE007B"/>
    <w:rsid w:val="00FE3DD5"/>
    <w:rsid w:val="00FF471A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8208"/>
  <w15:chartTrackingRefBased/>
  <w15:docId w15:val="{720FCAFA-EA21-4C74-81F2-0E66D80A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35"/>
    <w:pPr>
      <w:spacing w:after="0" w:line="276" w:lineRule="auto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4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5643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43B"/>
    <w:rPr>
      <w:rFonts w:ascii="Arial" w:eastAsia="Arial" w:hAnsi="Arial" w:cs="Arial"/>
      <w:kern w:val="0"/>
      <w:sz w:val="40"/>
      <w:szCs w:val="40"/>
      <w:lang w:val="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5643B"/>
    <w:rPr>
      <w:rFonts w:ascii="Arial" w:eastAsia="Arial" w:hAnsi="Arial" w:cs="Arial"/>
      <w:kern w:val="0"/>
      <w:sz w:val="32"/>
      <w:szCs w:val="32"/>
      <w:lang w:val="ru" w:eastAsia="ru-RU"/>
      <w14:ligatures w14:val="none"/>
    </w:rPr>
  </w:style>
  <w:style w:type="character" w:styleId="a3">
    <w:name w:val="Hyperlink"/>
    <w:basedOn w:val="a0"/>
    <w:uiPriority w:val="99"/>
    <w:unhideWhenUsed/>
    <w:rsid w:val="00C34B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4B4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6F6F"/>
    <w:rPr>
      <w:color w:val="605E5C"/>
      <w:shd w:val="clear" w:color="auto" w:fill="E1DFDD"/>
    </w:rPr>
  </w:style>
  <w:style w:type="character" w:customStyle="1" w:styleId="docdata">
    <w:name w:val="docdata"/>
    <w:aliases w:val="docy,v5,1846,bqiaagaaeyqcaaagiaiaaanpbaaabv0eaaaaaaaaaaaaaaaaaaaaaaaaaaaaaaaaaaaaaaaaaaaaaaaaaaaaaaaaaaaaaaaaaaaaaaaaaaaaaaaaaaaaaaaaaaaaaaaaaaaaaaaaaaaaaaaaaaaaaaaaaaaaaaaaaaaaaaaaaaaaaaaaaaaaaaaaaaaaaaaaaaaaaaaaaaaaaaaaaaaaaaaaaaaaaaaaaaaaaaaa"/>
    <w:basedOn w:val="a0"/>
    <w:rsid w:val="00191669"/>
  </w:style>
  <w:style w:type="paragraph" w:styleId="a6">
    <w:name w:val="Normal (Web)"/>
    <w:basedOn w:val="a"/>
    <w:uiPriority w:val="99"/>
    <w:unhideWhenUsed/>
    <w:rsid w:val="0056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3996"/>
    <w:pPr>
      <w:ind w:left="720"/>
      <w:contextualSpacing/>
    </w:pPr>
  </w:style>
  <w:style w:type="character" w:styleId="a8">
    <w:name w:val="Strong"/>
    <w:basedOn w:val="a0"/>
    <w:uiPriority w:val="22"/>
    <w:qFormat/>
    <w:rsid w:val="00F77B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401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2999">
          <w:marLeft w:val="0"/>
          <w:marRight w:val="0"/>
          <w:marTop w:val="3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8803&amp;dst=100008&amp;field=134&amp;date=17.02.2026" TargetMode="External"/><Relationship Id="rId5" Type="http://schemas.openxmlformats.org/officeDocument/2006/relationships/hyperlink" Target="https://login.consultant.ru/link/?req=doc&amp;base=LAW&amp;n=516533&amp;date=17.02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Савкова</dc:creator>
  <cp:keywords/>
  <dc:description/>
  <cp:lastModifiedBy>Людмила Савкова</cp:lastModifiedBy>
  <cp:revision>261</cp:revision>
  <cp:lastPrinted>2023-10-17T05:15:00Z</cp:lastPrinted>
  <dcterms:created xsi:type="dcterms:W3CDTF">2025-02-18T06:10:00Z</dcterms:created>
  <dcterms:modified xsi:type="dcterms:W3CDTF">2026-02-17T07:53:00Z</dcterms:modified>
</cp:coreProperties>
</file>