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8E6B" w14:textId="77777777" w:rsidR="00CB74BE" w:rsidRDefault="0049367B" w:rsidP="00CB7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bookmarkStart w:id="0" w:name="_Hlk213749425"/>
      <w:r w:rsidRPr="00967376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ВОПРОС </w:t>
      </w:r>
      <w:r w:rsidR="00CB74BE">
        <w:rPr>
          <w:rFonts w:eastAsia="Times New Roman"/>
          <w:b/>
          <w:bCs/>
          <w:color w:val="000000"/>
          <w:shd w:val="clear" w:color="auto" w:fill="FFFFFF"/>
          <w:lang w:val="ru-RU"/>
        </w:rPr>
        <w:t>3</w:t>
      </w:r>
      <w:r w:rsidRPr="00967376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. </w:t>
      </w:r>
      <w:r w:rsidR="00CB74BE" w:rsidRPr="00CB74BE">
        <w:rPr>
          <w:rFonts w:eastAsia="Times New Roman"/>
          <w:b/>
          <w:bCs/>
          <w:color w:val="000000"/>
          <w:shd w:val="clear" w:color="auto" w:fill="FFFFFF"/>
          <w:lang w:val="ru-RU"/>
        </w:rPr>
        <w:t>Анастасия Романовна К.</w:t>
      </w:r>
    </w:p>
    <w:p w14:paraId="483B04C0" w14:textId="595017B8" w:rsidR="00CB74BE" w:rsidRDefault="00CB74BE" w:rsidP="00CB7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CB74BE">
        <w:rPr>
          <w:rFonts w:eastAsia="Times New Roman"/>
          <w:color w:val="000000"/>
          <w:shd w:val="clear" w:color="auto" w:fill="FFFFFF"/>
          <w:lang w:val="ru-RU"/>
        </w:rPr>
        <w:t>Особенности формирования годовой отчетности у НКО.</w:t>
      </w:r>
    </w:p>
    <w:bookmarkEnd w:id="0"/>
    <w:p w14:paraId="3730A36D" w14:textId="77777777" w:rsidR="0049367B" w:rsidRPr="0049367B" w:rsidRDefault="0049367B" w:rsidP="00967376">
      <w:pPr>
        <w:spacing w:after="160" w:line="259" w:lineRule="auto"/>
        <w:rPr>
          <w:rFonts w:eastAsia="Times New Roman"/>
          <w:color w:val="000000"/>
          <w:shd w:val="clear" w:color="auto" w:fill="FFFFFF"/>
        </w:rPr>
      </w:pPr>
    </w:p>
    <w:p w14:paraId="438BB584" w14:textId="77777777" w:rsidR="00967376" w:rsidRPr="00967376" w:rsidRDefault="00967376" w:rsidP="00967376">
      <w:pPr>
        <w:pStyle w:val="2"/>
        <w:rPr>
          <w:rFonts w:eastAsia="Times New Roman"/>
        </w:rPr>
      </w:pPr>
      <w:r w:rsidRPr="00967376">
        <w:rPr>
          <w:rFonts w:eastAsia="Times New Roman"/>
        </w:rPr>
        <w:t>Состав бухгалтерской отчетности некоммерческих организаций</w:t>
      </w:r>
    </w:p>
    <w:p w14:paraId="61BF6E54" w14:textId="77777777" w:rsidR="00967376" w:rsidRPr="00967376" w:rsidRDefault="00967376" w:rsidP="00967376">
      <w:pPr>
        <w:ind w:right="3"/>
        <w:jc w:val="both"/>
      </w:pPr>
      <w:r w:rsidRPr="00967376">
        <w:rPr>
          <w:rFonts w:eastAsia="Times New Roman"/>
        </w:rPr>
        <w:t xml:space="preserve">Начиная с 2025 г. </w:t>
      </w:r>
      <w:r w:rsidRPr="00967376">
        <w:t>НКО формируют годовую бухгалтерскую отчетность, состоящую из бухгалтерского баланса, отчета о целевом использовании средств и приложений к ним (</w:t>
      </w:r>
      <w:r w:rsidRPr="00967376">
        <w:rPr>
          <w:highlight w:val="yellow"/>
        </w:rPr>
        <w:t xml:space="preserve">ч. 2 ст. 14 Закона о бухгалтерском учете, </w:t>
      </w:r>
      <w:proofErr w:type="spellStart"/>
      <w:r w:rsidRPr="00967376">
        <w:rPr>
          <w:highlight w:val="yellow"/>
        </w:rPr>
        <w:t>пп</w:t>
      </w:r>
      <w:proofErr w:type="spellEnd"/>
      <w:r w:rsidRPr="00967376">
        <w:rPr>
          <w:highlight w:val="yellow"/>
        </w:rPr>
        <w:t>. "б" п. 5 ФСБУ 4/2023</w:t>
      </w:r>
      <w:r w:rsidRPr="00967376">
        <w:t>).</w:t>
      </w:r>
    </w:p>
    <w:p w14:paraId="07F88381" w14:textId="77777777" w:rsidR="00967376" w:rsidRPr="00967376" w:rsidRDefault="00967376" w:rsidP="00967376">
      <w:pPr>
        <w:ind w:right="3"/>
        <w:jc w:val="both"/>
      </w:pPr>
      <w:r w:rsidRPr="00967376">
        <w:t xml:space="preserve">Отчетность составляют по формам, определенным на основе образцов, которые приведены в </w:t>
      </w:r>
      <w:r w:rsidRPr="00967376">
        <w:rPr>
          <w:highlight w:val="yellow"/>
        </w:rPr>
        <w:t>Приложениях №№ 3, 5, 7, 8 к ФСБУ 4/2023</w:t>
      </w:r>
      <w:r w:rsidRPr="00967376">
        <w:t>. Представляют отчетность в налоговый орган по месту нахождения НКО.</w:t>
      </w:r>
    </w:p>
    <w:p w14:paraId="63D9B06C" w14:textId="77777777" w:rsidR="00967376" w:rsidRPr="00967376" w:rsidRDefault="00967376" w:rsidP="00967376">
      <w:pPr>
        <w:ind w:right="3"/>
        <w:jc w:val="both"/>
      </w:pPr>
      <w:r w:rsidRPr="00967376">
        <w:t xml:space="preserve">Право на применение упрощенных способов ведения бухучета, включая упрощенную бухгалтерскую отчетность, имеют все НКО, за исключением тех, которые указаны в </w:t>
      </w:r>
      <w:r w:rsidRPr="00967376">
        <w:rPr>
          <w:highlight w:val="yellow"/>
        </w:rPr>
        <w:t>части 5 статьи 6 Закона от 06.12.2011 № 402-ФЗ.</w:t>
      </w:r>
    </w:p>
    <w:p w14:paraId="315200CB" w14:textId="77777777" w:rsidR="00967376" w:rsidRPr="00967376" w:rsidRDefault="00967376" w:rsidP="00967376">
      <w:pPr>
        <w:ind w:right="3"/>
        <w:jc w:val="both"/>
      </w:pPr>
      <w:r w:rsidRPr="00967376">
        <w:t xml:space="preserve">Образцы упрощенной бухгалтерской отчетности приведены в </w:t>
      </w:r>
      <w:r w:rsidRPr="00967376">
        <w:rPr>
          <w:highlight w:val="yellow"/>
        </w:rPr>
        <w:t>Приложении №9 к ФСБУ 4/2023</w:t>
      </w:r>
      <w:r w:rsidRPr="00967376">
        <w:t xml:space="preserve">. </w:t>
      </w:r>
    </w:p>
    <w:p w14:paraId="70CBA8DD" w14:textId="77777777" w:rsidR="00FE007B" w:rsidRDefault="00FE007B" w:rsidP="00967376">
      <w:pPr>
        <w:ind w:right="3"/>
        <w:jc w:val="both"/>
        <w:rPr>
          <w:lang w:val="ru-RU"/>
        </w:rPr>
      </w:pPr>
    </w:p>
    <w:p w14:paraId="59BB35DB" w14:textId="24EB453B" w:rsidR="00967376" w:rsidRPr="00967376" w:rsidRDefault="00967376" w:rsidP="00967376">
      <w:pPr>
        <w:ind w:right="3"/>
        <w:jc w:val="both"/>
      </w:pPr>
      <w:r w:rsidRPr="00967376">
        <w:t>Приложения к бухгалтерскому балансу и отчету о целевом использовании средств состоят из отчета о финансовых результатах, отчета о движении денежных средств, пояснений к бухгалтерскому балансу и отчету о целевом использовании средств, за исключением случая, когда НКО принимает решение не составлять отчет о финансовых результатах и (или) отчет о движении денежных средств.</w:t>
      </w:r>
    </w:p>
    <w:p w14:paraId="7E0DF336" w14:textId="77777777" w:rsidR="00967376" w:rsidRPr="00967376" w:rsidRDefault="00967376" w:rsidP="00967376">
      <w:pPr>
        <w:ind w:right="3"/>
        <w:jc w:val="both"/>
      </w:pPr>
      <w:r w:rsidRPr="00967376">
        <w:t>В случае, когда НКО приняла решение не составлять отчет о финансовых результатах и (или) отчет о движении денежных средств, информация, подлежащая раскрытию в таких отчетах, включается в пояснения к бухгалтерскому балансу и отчету о целевом использовании средств (</w:t>
      </w:r>
      <w:r w:rsidRPr="00967376">
        <w:rPr>
          <w:highlight w:val="yellow"/>
        </w:rPr>
        <w:t>п. 6 ФСБУ 4/2023)</w:t>
      </w:r>
    </w:p>
    <w:p w14:paraId="78386AF4" w14:textId="77777777" w:rsidR="00967376" w:rsidRPr="00967376" w:rsidRDefault="00967376" w:rsidP="00967376">
      <w:pPr>
        <w:ind w:right="3"/>
      </w:pPr>
    </w:p>
    <w:p w14:paraId="276C1B16" w14:textId="5E6F42FD" w:rsidR="00967376" w:rsidRDefault="00967376">
      <w:pPr>
        <w:spacing w:after="160" w:line="259" w:lineRule="auto"/>
        <w:rPr>
          <w:rFonts w:eastAsia="Times New Roman"/>
          <w:sz w:val="24"/>
          <w:szCs w:val="24"/>
          <w:lang w:val="ru-RU"/>
        </w:rPr>
      </w:pPr>
      <w:r>
        <w:br w:type="page"/>
      </w:r>
    </w:p>
    <w:p w14:paraId="6D69BBF3" w14:textId="77777777" w:rsidR="00967376" w:rsidRPr="00967376" w:rsidRDefault="00967376" w:rsidP="00967376">
      <w:pPr>
        <w:pStyle w:val="a6"/>
        <w:spacing w:line="276" w:lineRule="auto"/>
        <w:rPr>
          <w:rFonts w:ascii="Arial" w:hAnsi="Arial" w:cs="Arial"/>
        </w:rPr>
      </w:pPr>
    </w:p>
    <w:tbl>
      <w:tblPr>
        <w:tblW w:w="5179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66"/>
        <w:gridCol w:w="36"/>
        <w:gridCol w:w="6354"/>
        <w:gridCol w:w="334"/>
      </w:tblGrid>
      <w:tr w:rsidR="00967376" w:rsidRPr="00967376" w14:paraId="0B1B3A04" w14:textId="77777777" w:rsidTr="00C229C3">
        <w:trPr>
          <w:gridAfter w:val="1"/>
          <w:wAfter w:w="334" w:type="dxa"/>
          <w:tblHeader/>
        </w:trPr>
        <w:tc>
          <w:tcPr>
            <w:tcW w:w="2966" w:type="dxa"/>
            <w:vAlign w:val="center"/>
            <w:hideMark/>
          </w:tcPr>
          <w:p w14:paraId="7957EBFD" w14:textId="77777777" w:rsidR="00967376" w:rsidRPr="00967376" w:rsidRDefault="00967376" w:rsidP="00C229C3">
            <w:pPr>
              <w:pStyle w:val="a6"/>
              <w:rPr>
                <w:rFonts w:ascii="Arial" w:hAnsi="Arial" w:cs="Arial"/>
                <w:b/>
                <w:bCs/>
              </w:rPr>
            </w:pPr>
            <w:r w:rsidRPr="00967376">
              <w:rPr>
                <w:rFonts w:ascii="Arial" w:hAnsi="Arial" w:cs="Arial"/>
                <w:b/>
                <w:bCs/>
              </w:rPr>
              <w:t>Форма</w:t>
            </w:r>
          </w:p>
        </w:tc>
        <w:tc>
          <w:tcPr>
            <w:tcW w:w="6390" w:type="dxa"/>
            <w:gridSpan w:val="2"/>
            <w:vAlign w:val="center"/>
            <w:hideMark/>
          </w:tcPr>
          <w:p w14:paraId="3D053050" w14:textId="77777777" w:rsidR="00967376" w:rsidRPr="00967376" w:rsidRDefault="00967376" w:rsidP="00C229C3">
            <w:pPr>
              <w:pStyle w:val="a6"/>
              <w:rPr>
                <w:rFonts w:ascii="Arial" w:hAnsi="Arial" w:cs="Arial"/>
                <w:b/>
                <w:bCs/>
              </w:rPr>
            </w:pPr>
            <w:r w:rsidRPr="00967376">
              <w:rPr>
                <w:rFonts w:ascii="Arial" w:hAnsi="Arial" w:cs="Arial"/>
                <w:b/>
                <w:bCs/>
              </w:rPr>
              <w:t>Кто сдает</w:t>
            </w:r>
          </w:p>
        </w:tc>
      </w:tr>
      <w:tr w:rsidR="00967376" w:rsidRPr="00967376" w14:paraId="6A39333C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8D73D6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5" w:anchor="/document/16/186413/" w:history="1">
              <w:r w:rsidRPr="00967376">
                <w:rPr>
                  <w:rStyle w:val="a3"/>
                  <w:rFonts w:ascii="Arial" w:hAnsi="Arial" w:cs="Arial"/>
                </w:rPr>
                <w:t>Бухгалтерский баланс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A19E0E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№3 к ФСБУ 4/2023</w:t>
            </w:r>
          </w:p>
        </w:tc>
      </w:tr>
      <w:tr w:rsidR="00967376" w:rsidRPr="00967376" w14:paraId="32061895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6F6ED2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6" w:anchor="/document/99/902226603/XA00M9U2ND/" w:history="1">
              <w:r w:rsidRPr="00967376">
                <w:rPr>
                  <w:rStyle w:val="a3"/>
                  <w:rFonts w:ascii="Arial" w:hAnsi="Arial" w:cs="Arial"/>
                </w:rPr>
                <w:t>Бухгалтерский баланс (упрощенная форма)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FB48F3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НКО, имеющие право на предоставление бухгалтерской отчётности в упрощённой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№9 к ФСБУ 4/2023</w:t>
            </w:r>
            <w:r w:rsidRPr="00967376">
              <w:rPr>
                <w:rFonts w:ascii="Arial" w:hAnsi="Arial" w:cs="Arial"/>
              </w:rPr>
              <w:t xml:space="preserve">. </w:t>
            </w:r>
          </w:p>
          <w:p w14:paraId="232A8A3D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Можно отказаться от этого права и представить данный отчёт по полной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№3 к ФСБУ 4/2023</w:t>
            </w:r>
            <w:r w:rsidRPr="00967376">
              <w:rPr>
                <w:rFonts w:ascii="Arial" w:hAnsi="Arial" w:cs="Arial"/>
              </w:rPr>
              <w:t>.</w:t>
            </w:r>
          </w:p>
        </w:tc>
      </w:tr>
      <w:tr w:rsidR="00967376" w:rsidRPr="00967376" w14:paraId="32C8D787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EE9DE7A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7" w:anchor="/document/99/902226603/ZAP1V783DG/" w:history="1">
              <w:r w:rsidRPr="00967376">
                <w:rPr>
                  <w:rStyle w:val="a3"/>
                  <w:rFonts w:ascii="Arial" w:hAnsi="Arial" w:cs="Arial"/>
                </w:rPr>
                <w:t>Отчет о целевом использовании средств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08B9B2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№5 к ФСБУ 4/2023</w:t>
            </w:r>
          </w:p>
        </w:tc>
      </w:tr>
      <w:tr w:rsidR="00967376" w:rsidRPr="00967376" w14:paraId="42FDC62E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01252A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8" w:anchor="/document/99/902226603/ZAP1V783DG/" w:history="1">
              <w:r w:rsidRPr="00967376">
                <w:rPr>
                  <w:rStyle w:val="a3"/>
                  <w:rFonts w:ascii="Arial" w:hAnsi="Arial" w:cs="Arial"/>
                </w:rPr>
                <w:t>Отчет о целевом использовании средств (упрощенная форма)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FBB544" w14:textId="77777777" w:rsidR="00967376" w:rsidRPr="00967376" w:rsidRDefault="00967376" w:rsidP="00C229C3">
            <w:r w:rsidRPr="00967376">
              <w:t xml:space="preserve">НКО, имеющие право на предоставление бухгалтерской отчётности в упрощённой форме, по образцу, приведенному в </w:t>
            </w:r>
            <w:r w:rsidRPr="00967376">
              <w:rPr>
                <w:highlight w:val="yellow"/>
              </w:rPr>
              <w:t>Приложении №9 к ФСБУ 4/2023</w:t>
            </w:r>
            <w:r w:rsidRPr="00967376">
              <w:t xml:space="preserve">. </w:t>
            </w:r>
          </w:p>
          <w:p w14:paraId="0F65D8F5" w14:textId="77777777" w:rsidR="00967376" w:rsidRPr="00967376" w:rsidRDefault="00967376" w:rsidP="00C229C3"/>
          <w:p w14:paraId="5140EE2B" w14:textId="77777777" w:rsidR="00967376" w:rsidRPr="00967376" w:rsidRDefault="00967376" w:rsidP="00C229C3">
            <w:pPr>
              <w:rPr>
                <w:rFonts w:eastAsia="Times New Roman"/>
              </w:rPr>
            </w:pPr>
            <w:r w:rsidRPr="00967376">
              <w:rPr>
                <w:rFonts w:eastAsia="Times New Roman"/>
              </w:rPr>
              <w:t xml:space="preserve">Можно отказаться от этого права и представить данный отчёт по полной форме, по образцу, приведенному в </w:t>
            </w:r>
            <w:r w:rsidRPr="00967376">
              <w:rPr>
                <w:rFonts w:eastAsia="Times New Roman"/>
                <w:highlight w:val="yellow"/>
              </w:rPr>
              <w:t>Приложении №5 к ФСБУ 4/2023.</w:t>
            </w:r>
          </w:p>
        </w:tc>
      </w:tr>
      <w:tr w:rsidR="00967376" w:rsidRPr="00967376" w14:paraId="304FEFAE" w14:textId="77777777" w:rsidTr="00C229C3">
        <w:tc>
          <w:tcPr>
            <w:tcW w:w="300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A8B565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9" w:anchor="/document/16/186417/" w:history="1">
              <w:r w:rsidRPr="00967376">
                <w:rPr>
                  <w:rStyle w:val="a3"/>
                  <w:rFonts w:ascii="Arial" w:hAnsi="Arial" w:cs="Arial"/>
                </w:rPr>
                <w:t>Отчет о финансовых результатах</w:t>
              </w:r>
            </w:hyperlink>
          </w:p>
        </w:tc>
        <w:tc>
          <w:tcPr>
            <w:tcW w:w="6688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439FA3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за исключением случая, когда НКО принимает решение не составлять отчет о финансовых результатах,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 4 к ФСБУ 4/2023</w:t>
            </w:r>
            <w:r w:rsidRPr="00967376">
              <w:rPr>
                <w:rFonts w:ascii="Arial" w:hAnsi="Arial" w:cs="Arial"/>
              </w:rPr>
              <w:t>.</w:t>
            </w:r>
          </w:p>
        </w:tc>
      </w:tr>
      <w:tr w:rsidR="00967376" w:rsidRPr="00967376" w14:paraId="38341680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</w:tcPr>
          <w:p w14:paraId="05AABA49" w14:textId="77777777" w:rsidR="00967376" w:rsidRPr="0088002B" w:rsidRDefault="00967376" w:rsidP="00C229C3">
            <w:pPr>
              <w:pStyle w:val="a6"/>
              <w:rPr>
                <w:rFonts w:ascii="Arial" w:hAnsi="Arial" w:cs="Arial"/>
              </w:rPr>
            </w:pPr>
            <w:r w:rsidRPr="0088002B">
              <w:rPr>
                <w:rStyle w:val="a3"/>
                <w:rFonts w:ascii="Arial" w:hAnsi="Arial" w:cs="Arial"/>
              </w:rPr>
              <w:t>Отчет о движении денежных средств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B92E5B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за исключением случая, когда НКО принимает решение не составлять отчет о движении денежных средств, </w:t>
            </w:r>
            <w:r w:rsidRPr="00967376">
              <w:rPr>
                <w:rFonts w:ascii="Arial" w:hAnsi="Arial" w:cs="Arial"/>
              </w:rPr>
              <w:lastRenderedPageBreak/>
              <w:t xml:space="preserve">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 7 к ФСБУ 4/2023</w:t>
            </w:r>
            <w:r w:rsidRPr="00967376">
              <w:rPr>
                <w:rFonts w:ascii="Arial" w:hAnsi="Arial" w:cs="Arial"/>
              </w:rPr>
              <w:t>.</w:t>
            </w:r>
          </w:p>
        </w:tc>
      </w:tr>
      <w:tr w:rsidR="00967376" w:rsidRPr="00967376" w14:paraId="517E8A0E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50043E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10" w:anchor="/document/16/186421/" w:history="1">
              <w:r w:rsidRPr="00967376">
                <w:rPr>
                  <w:rStyle w:val="a3"/>
                  <w:rFonts w:ascii="Arial" w:hAnsi="Arial" w:cs="Arial"/>
                </w:rPr>
                <w:t>Пояснения к Бухгалтерскому балансу и Отчету о целевом</w:t>
              </w:r>
            </w:hyperlink>
            <w:r w:rsidRPr="00967376">
              <w:rPr>
                <w:rFonts w:ascii="Arial" w:hAnsi="Arial" w:cs="Arial"/>
              </w:rPr>
              <w:t xml:space="preserve"> использовании средств (Пояснения)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BFA3E7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НКО. </w:t>
            </w:r>
          </w:p>
          <w:p w14:paraId="13FFA58B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НКО, имеющие право на предоставление бухгалтерской отчётности в упрощённой форме, также должны включать в состав бухгалтерской отчетности пояснения с учетом требований </w:t>
            </w:r>
            <w:r w:rsidRPr="00967376">
              <w:rPr>
                <w:rFonts w:ascii="Arial" w:hAnsi="Arial" w:cs="Arial"/>
                <w:highlight w:val="yellow"/>
              </w:rPr>
              <w:t>п.54 ФСБУ 4/2023.</w:t>
            </w:r>
          </w:p>
        </w:tc>
      </w:tr>
    </w:tbl>
    <w:p w14:paraId="7E831CA4" w14:textId="77777777" w:rsidR="00967376" w:rsidRPr="00967376" w:rsidRDefault="00967376" w:rsidP="00967376">
      <w:pPr>
        <w:pStyle w:val="a6"/>
        <w:spacing w:line="276" w:lineRule="auto"/>
        <w:rPr>
          <w:rFonts w:ascii="Arial" w:hAnsi="Arial" w:cs="Arial"/>
        </w:rPr>
      </w:pPr>
      <w:r w:rsidRPr="00967376">
        <w:rPr>
          <w:rFonts w:ascii="Arial" w:hAnsi="Arial" w:cs="Arial"/>
        </w:rPr>
        <w:t> </w:t>
      </w:r>
    </w:p>
    <w:p w14:paraId="06EEAC74" w14:textId="77777777" w:rsidR="00967376" w:rsidRPr="00967376" w:rsidRDefault="00967376" w:rsidP="00967376">
      <w:pPr>
        <w:rPr>
          <w:rFonts w:eastAsia="Times New Roman"/>
          <w:sz w:val="20"/>
          <w:szCs w:val="20"/>
        </w:rPr>
      </w:pPr>
    </w:p>
    <w:p w14:paraId="77B5AA6E" w14:textId="28FCC318" w:rsidR="00CE7541" w:rsidRDefault="00F20F6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</w:rPr>
        <w:br w:type="page"/>
      </w:r>
      <w:r w:rsidR="00CE7541" w:rsidRPr="0088002B"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 xml:space="preserve">ВОПРОС </w:t>
      </w:r>
      <w:r w:rsidR="00CE7541" w:rsidRPr="0088002B">
        <w:rPr>
          <w:rFonts w:eastAsia="Times New Roman"/>
          <w:b/>
          <w:bCs/>
          <w:color w:val="000000"/>
          <w:shd w:val="clear" w:color="auto" w:fill="FFFFFF"/>
          <w:lang w:val="ru-RU"/>
        </w:rPr>
        <w:t>6</w:t>
      </w:r>
      <w:r w:rsidR="00CE7541" w:rsidRPr="0088002B">
        <w:rPr>
          <w:rFonts w:eastAsia="Times New Roman"/>
          <w:b/>
          <w:bCs/>
          <w:color w:val="000000"/>
          <w:shd w:val="clear" w:color="auto" w:fill="FFFFFF"/>
          <w:lang w:val="ru-RU"/>
        </w:rPr>
        <w:t>.</w:t>
      </w:r>
      <w:r w:rsidR="00CE7541" w:rsidRPr="00CE7541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 w:rsidR="0088002B" w:rsidRPr="0088002B">
        <w:rPr>
          <w:rFonts w:eastAsia="Times New Roman"/>
          <w:color w:val="000000"/>
          <w:shd w:val="clear" w:color="auto" w:fill="FFFFFF"/>
          <w:lang w:val="ru-RU"/>
        </w:rPr>
        <w:t>Надежда Владимировна С.</w:t>
      </w:r>
    </w:p>
    <w:p w14:paraId="67BBC6B1" w14:textId="77777777" w:rsidR="00CE7541" w:rsidRP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 xml:space="preserve">К вопросу о начислении членских взносов  </w:t>
      </w:r>
    </w:p>
    <w:p w14:paraId="29C25782" w14:textId="77777777" w:rsidR="00CE7541" w:rsidRP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>Д-т 76 К-т 86 – если взносы начислены, то получается, как по смете сколько ожидаем прихода, столько и начисляем. А если взносы не поступили, то кроме задолженности увеличивается и счет 86, когда будем списывать задолженность по неуплате, она же будет списана обратной проводной К-т 86, Д-т 76. И получается, что по 86 счету финансирование как будто есть, а реально его нет.</w:t>
      </w:r>
    </w:p>
    <w:p w14:paraId="1FA3DC96" w14:textId="77777777" w:rsidR="00CE7541" w:rsidRP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>Как в этом случае заполнять отчёт о целевом использовании средств в составе бухгалтерской отчётности – по реальному поступлению или по начислению, где показываем, что финансирование есть, а его нет (как мёртвые души) – исключать из членов эти компании не хотят, показывая высокую численность членов Ассоциации, но по факту половина из них уже давно не активна. Какой есть вариант и численность сохранить и не увеличивать эти задолженности?</w:t>
      </w:r>
    </w:p>
    <w:p w14:paraId="6C522F78" w14:textId="77777777" w:rsidR="00CE7541" w:rsidRP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>Раздел 3 Налоговой декларации по УСН – там кассовым методом показывать взносы полученные?</w:t>
      </w:r>
    </w:p>
    <w:p w14:paraId="27F40BA7" w14:textId="77777777" w:rsidR="00CE7541" w:rsidRP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>И корректировка сметы в конце года – когда составляем исполнение сметы и видим, что расходы превышаю доходы или доходы не покрыли расходы. Здесь все равно будет увязка с 51 счетом – сколько всё-таки взносов поступили и сколько мы смогли потратить.</w:t>
      </w:r>
    </w:p>
    <w:p w14:paraId="586FBF49" w14:textId="77777777" w:rsidR="00CE7541" w:rsidRP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>Получается, что в бухгалтерском учете всё методом начисления – начисление взносов, начисление расходов по з/п, взносам, аренде. Как по смете.</w:t>
      </w:r>
    </w:p>
    <w:p w14:paraId="520A4782" w14:textId="77777777" w:rsidR="00CE7541" w:rsidRP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>А реальную нехватку денег – на 51 счете, как с ней быть. Всем все начислили и получается задолженность и поиск реальных денег на уплату этих задолженностей.</w:t>
      </w:r>
    </w:p>
    <w:p w14:paraId="3F14837A" w14:textId="6F6626F5" w:rsidR="00CE7541" w:rsidRDefault="00CE7541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CE7541">
        <w:rPr>
          <w:rFonts w:eastAsia="Times New Roman"/>
          <w:color w:val="000000"/>
          <w:shd w:val="clear" w:color="auto" w:fill="FFFFFF"/>
          <w:lang w:val="ru-RU"/>
        </w:rPr>
        <w:t>Кассовый метод по УСН, как я поняла, только для налогового учета по УСН.</w:t>
      </w:r>
    </w:p>
    <w:p w14:paraId="02524B69" w14:textId="77777777" w:rsidR="0088002B" w:rsidRDefault="0088002B" w:rsidP="0088002B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3849C850" w14:textId="77777777" w:rsidR="0088002B" w:rsidRDefault="0088002B" w:rsidP="0088002B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01915388" w14:textId="705A90A7" w:rsidR="0088002B" w:rsidRDefault="0088002B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br w:type="page"/>
      </w:r>
    </w:p>
    <w:p w14:paraId="14762D96" w14:textId="37B06693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 xml:space="preserve">ВОПРОС </w:t>
      </w:r>
      <w:r w:rsidRPr="0088002B">
        <w:rPr>
          <w:rFonts w:eastAsia="Times New Roman"/>
          <w:b/>
          <w:bCs/>
          <w:color w:val="000000"/>
          <w:shd w:val="clear" w:color="auto" w:fill="FFFFFF"/>
          <w:lang w:val="ru-RU"/>
        </w:rPr>
        <w:t>9.</w:t>
      </w:r>
      <w:r w:rsidRPr="0088002B">
        <w:rPr>
          <w:rFonts w:eastAsia="Times New Roman"/>
          <w:color w:val="000000"/>
          <w:shd w:val="clear" w:color="auto" w:fill="FFFFFF"/>
          <w:lang w:val="ru-RU"/>
        </w:rPr>
        <w:t xml:space="preserve"> Ирина Валентиновна П.</w:t>
      </w:r>
    </w:p>
    <w:p w14:paraId="12AF6983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1. Вопрос по применению акта приема-передачи с 01 января 2026 года:</w:t>
      </w:r>
    </w:p>
    <w:p w14:paraId="6E6F715F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Благотворительный фонд оказывает благотворительную помощь организациям и физическим лицам.</w:t>
      </w:r>
    </w:p>
    <w:p w14:paraId="4840F60E" w14:textId="277ADE32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На данный момент передачу товаров, работ и услуг в рамках благотворительной деятельности (по 135-ФЗ)</w:t>
      </w:r>
      <w:r w:rsidR="00B021E7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 w:rsidRPr="0088002B">
        <w:rPr>
          <w:rFonts w:eastAsia="Times New Roman"/>
          <w:color w:val="000000"/>
          <w:shd w:val="clear" w:color="auto" w:fill="FFFFFF"/>
          <w:lang w:val="ru-RU"/>
        </w:rPr>
        <w:t>оформляем актом приема-передачи, который в большинстве случаев подписывается в системе ЭДО.</w:t>
      </w:r>
    </w:p>
    <w:p w14:paraId="61BF0A8E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Вопрос: можем ли после 01.01.2026 года применять акт приема-передачи и подписывать их в электронном виде?</w:t>
      </w:r>
    </w:p>
    <w:p w14:paraId="7904C213" w14:textId="5BFB57CF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46964099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2. Вопрос по учету затрат по товарному знаку при продлении срока действия:</w:t>
      </w:r>
    </w:p>
    <w:p w14:paraId="0D39046D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Благотворительный фонд имеет товарный знак, который при переходе на ФСБУ 14/2022 был списан с баланса и числится на забалансовом счете как малоценный объект НМА.</w:t>
      </w:r>
    </w:p>
    <w:p w14:paraId="5F6B9114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Сейчас продляют срок действия исключительного права данного товарного знака.</w:t>
      </w:r>
    </w:p>
    <w:p w14:paraId="3CA9910B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Расходы – уплата госпошлины, оплата услуг патентному поверенному.</w:t>
      </w:r>
    </w:p>
    <w:p w14:paraId="502E3899" w14:textId="54649250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В учетной политике определен стоимостной критерий для объектов НМА в размере 100 тыс.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 w:rsidRPr="0088002B">
        <w:rPr>
          <w:rFonts w:eastAsia="Times New Roman"/>
          <w:color w:val="000000"/>
          <w:shd w:val="clear" w:color="auto" w:fill="FFFFFF"/>
          <w:lang w:val="ru-RU"/>
        </w:rPr>
        <w:t>руб.</w:t>
      </w:r>
    </w:p>
    <w:p w14:paraId="2408AFBC" w14:textId="77777777" w:rsidR="0088002B" w:rsidRP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Вопрос: как верно учитывать товарный знак с учетом затрат на продление его срока действия - как новый объект НМА?</w:t>
      </w:r>
    </w:p>
    <w:p w14:paraId="5D6C4530" w14:textId="3ECE7FAB" w:rsidR="0088002B" w:rsidRDefault="0088002B" w:rsidP="00880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88002B">
        <w:rPr>
          <w:rFonts w:eastAsia="Times New Roman"/>
          <w:color w:val="000000"/>
          <w:shd w:val="clear" w:color="auto" w:fill="FFFFFF"/>
          <w:lang w:val="ru-RU"/>
        </w:rPr>
        <w:t>Срок полезного использования будет определяться по сроку действия свидетельства на товарный знак?</w:t>
      </w:r>
    </w:p>
    <w:p w14:paraId="364EEF7E" w14:textId="77777777" w:rsidR="0088002B" w:rsidRDefault="0088002B" w:rsidP="0088002B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70F66F86" w14:textId="395888E7" w:rsidR="008741BF" w:rsidRPr="008741BF" w:rsidRDefault="008741BF" w:rsidP="008741BF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1. С</w:t>
      </w:r>
      <w:r w:rsidRPr="008741BF">
        <w:rPr>
          <w:rFonts w:eastAsia="Times New Roman"/>
          <w:color w:val="000000"/>
          <w:shd w:val="clear" w:color="auto" w:fill="FFFFFF"/>
          <w:lang w:val="ru-RU"/>
        </w:rPr>
        <w:t xml:space="preserve"> 1 января 2026 года приказ ФНС России от 20.01.2025 № ЕД-7-26/28@ прекращает действие форматов документа о передаче товаров при торговых операциях в электронной форме и документа о передаче результатов работ (услуг) в электронной форме.</w:t>
      </w:r>
    </w:p>
    <w:p w14:paraId="6638F5F2" w14:textId="519DFAA5" w:rsidR="0088002B" w:rsidRDefault="008741BF" w:rsidP="008741BF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8741BF">
        <w:rPr>
          <w:rFonts w:eastAsia="Times New Roman"/>
          <w:color w:val="000000"/>
          <w:shd w:val="clear" w:color="auto" w:fill="FFFFFF"/>
          <w:lang w:val="ru-RU"/>
        </w:rPr>
        <w:t xml:space="preserve">Таким образом, с начала нового налогового периода основным официально признанным электронным документом </w:t>
      </w:r>
      <w:r w:rsidRPr="008741BF">
        <w:rPr>
          <w:rFonts w:eastAsia="Times New Roman"/>
          <w:b/>
          <w:bCs/>
          <w:color w:val="000000"/>
          <w:shd w:val="clear" w:color="auto" w:fill="FFFFFF"/>
          <w:lang w:val="ru-RU"/>
        </w:rPr>
        <w:t>в XML-формате</w:t>
      </w:r>
      <w:r w:rsidRPr="008741BF">
        <w:rPr>
          <w:rFonts w:eastAsia="Times New Roman"/>
          <w:color w:val="000000"/>
          <w:shd w:val="clear" w:color="auto" w:fill="FFFFFF"/>
          <w:lang w:val="ru-RU"/>
        </w:rPr>
        <w:t>, подтверждающим отгрузку товаров, выполнение работ или оказание услуг, станет универсальный передаточный документ (УПД). Его действующий формат 5.03 утвержден приказом ФНС от 19.12.2023 № ЕД-7-26/970@ и объединяет счет-фактуру и первичный документ.</w:t>
      </w:r>
    </w:p>
    <w:p w14:paraId="66AE214F" w14:textId="264D43A2" w:rsidR="0088002B" w:rsidRPr="008741BF" w:rsidRDefault="008741BF" w:rsidP="0088002B">
      <w:pPr>
        <w:spacing w:after="160" w:line="259" w:lineRule="auto"/>
        <w:rPr>
          <w:rFonts w:eastAsia="Times New Roman"/>
          <w:i/>
          <w:iCs/>
          <w:color w:val="000000"/>
          <w:shd w:val="clear" w:color="auto" w:fill="FFFFFF"/>
          <w:lang w:val="ru-RU"/>
        </w:rPr>
      </w:pPr>
      <w:r w:rsidRPr="008741BF">
        <w:rPr>
          <w:rFonts w:eastAsia="Times New Roman"/>
          <w:i/>
          <w:iCs/>
          <w:color w:val="000000"/>
          <w:shd w:val="clear" w:color="auto" w:fill="FFFFFF"/>
          <w:lang w:val="ru-RU"/>
        </w:rPr>
        <w:t xml:space="preserve">Возможность применять акты приемки -передачи </w:t>
      </w:r>
      <w:r>
        <w:rPr>
          <w:rFonts w:eastAsia="Times New Roman"/>
          <w:i/>
          <w:iCs/>
          <w:color w:val="000000"/>
          <w:shd w:val="clear" w:color="auto" w:fill="FFFFFF"/>
          <w:lang w:val="ru-RU"/>
        </w:rPr>
        <w:t xml:space="preserve">и иные документы </w:t>
      </w:r>
      <w:r w:rsidRPr="008741BF">
        <w:rPr>
          <w:rFonts w:eastAsia="Times New Roman"/>
          <w:i/>
          <w:iCs/>
          <w:color w:val="000000"/>
          <w:shd w:val="clear" w:color="auto" w:fill="FFFFFF"/>
          <w:lang w:val="ru-RU"/>
        </w:rPr>
        <w:t>сохраняется.</w:t>
      </w:r>
    </w:p>
    <w:p w14:paraId="4C556FC1" w14:textId="66EA5F59" w:rsidR="00B021E7" w:rsidRPr="000D2839" w:rsidRDefault="00B021E7" w:rsidP="0088002B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0D2839">
        <w:rPr>
          <w:rFonts w:eastAsia="Times New Roman"/>
          <w:b/>
          <w:bCs/>
          <w:color w:val="000000"/>
          <w:shd w:val="clear" w:color="auto" w:fill="FFFFFF"/>
          <w:lang w:val="ru-RU"/>
        </w:rPr>
        <w:t>Федеральный закон от 06.04.2011 N 63-ФЗ (ред. от 21.04.2025) "Об электронной подписи"</w:t>
      </w:r>
    </w:p>
    <w:p w14:paraId="19464231" w14:textId="77777777" w:rsidR="00B021E7" w:rsidRPr="00B021E7" w:rsidRDefault="00B021E7" w:rsidP="00B021E7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B021E7">
        <w:rPr>
          <w:rFonts w:eastAsia="Times New Roman"/>
          <w:color w:val="000000"/>
          <w:shd w:val="clear" w:color="auto" w:fill="FFFFFF"/>
          <w:lang w:val="ru-RU"/>
        </w:rPr>
        <w:t>Статья 2. Основные понятия, используемые в настоящем Федеральном законе</w:t>
      </w:r>
    </w:p>
    <w:p w14:paraId="61919332" w14:textId="36BB88A5" w:rsidR="00B021E7" w:rsidRPr="00B021E7" w:rsidRDefault="00B021E7" w:rsidP="00B021E7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B021E7">
        <w:rPr>
          <w:rFonts w:eastAsia="Times New Roman"/>
          <w:color w:val="000000"/>
          <w:shd w:val="clear" w:color="auto" w:fill="FFFFFF"/>
          <w:lang w:val="ru-RU"/>
        </w:rPr>
        <w:t>Для целей настоящего Федерального закона используются следующие основные понятия:</w:t>
      </w:r>
    </w:p>
    <w:p w14:paraId="7DF10DD6" w14:textId="28C8BE55" w:rsidR="00B021E7" w:rsidRDefault="00B021E7" w:rsidP="00B021E7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B021E7">
        <w:rPr>
          <w:rFonts w:eastAsia="Times New Roman"/>
          <w:color w:val="000000"/>
          <w:shd w:val="clear" w:color="auto" w:fill="FFFFFF"/>
          <w:lang w:val="ru-RU"/>
        </w:rPr>
        <w:t xml:space="preserve">1) </w:t>
      </w:r>
      <w:r w:rsidRPr="00B021E7">
        <w:rPr>
          <w:rFonts w:eastAsia="Times New Roman"/>
          <w:b/>
          <w:bCs/>
          <w:color w:val="000000"/>
          <w:shd w:val="clear" w:color="auto" w:fill="FFFFFF"/>
          <w:lang w:val="ru-RU"/>
        </w:rPr>
        <w:t>электронная подпись</w:t>
      </w:r>
      <w:r w:rsidRPr="00B021E7">
        <w:rPr>
          <w:rFonts w:eastAsia="Times New Roman"/>
          <w:color w:val="000000"/>
          <w:shd w:val="clear" w:color="auto" w:fill="FFFFFF"/>
          <w:lang w:val="ru-RU"/>
        </w:rPr>
        <w:t xml:space="preserve"> - информация в электронной форме, которая присоединена к </w:t>
      </w:r>
      <w:r w:rsidRPr="00B021E7">
        <w:rPr>
          <w:rFonts w:eastAsia="Times New Roman"/>
          <w:b/>
          <w:bCs/>
          <w:color w:val="000000"/>
          <w:shd w:val="clear" w:color="auto" w:fill="FFFFFF"/>
          <w:lang w:val="ru-RU"/>
        </w:rPr>
        <w:t>другой информации в электронной форме (подписываемой информации)</w:t>
      </w:r>
      <w:r w:rsidRPr="00B021E7">
        <w:rPr>
          <w:rFonts w:eastAsia="Times New Roman"/>
          <w:color w:val="000000"/>
          <w:shd w:val="clear" w:color="auto" w:fill="FFFFFF"/>
          <w:lang w:val="ru-RU"/>
        </w:rPr>
        <w:t xml:space="preserve"> или иным образом связана с такой информацией и которая используется для определения лица, подписывающего информацию;</w:t>
      </w:r>
    </w:p>
    <w:p w14:paraId="382609E6" w14:textId="77777777" w:rsidR="00B021E7" w:rsidRDefault="00B021E7" w:rsidP="0088002B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4287CD41" w14:textId="23ACD2F7" w:rsidR="00504885" w:rsidRDefault="008741BF" w:rsidP="0088002B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 xml:space="preserve">2. </w:t>
      </w:r>
      <w:r w:rsidR="00504885" w:rsidRPr="000D2839">
        <w:rPr>
          <w:rFonts w:eastAsia="Times New Roman"/>
          <w:b/>
          <w:bCs/>
          <w:color w:val="000000"/>
          <w:shd w:val="clear" w:color="auto" w:fill="FFFFFF"/>
          <w:lang w:val="ru-RU"/>
        </w:rPr>
        <w:t>ФСБУ 14/2022 "Нематериальные активы</w:t>
      </w:r>
      <w:r w:rsidR="00504885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</w:p>
    <w:p w14:paraId="6DC0A597" w14:textId="357F8592" w:rsidR="0088002B" w:rsidRDefault="00504885" w:rsidP="0088002B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 xml:space="preserve">П. </w:t>
      </w:r>
      <w:r w:rsidRPr="00504885">
        <w:rPr>
          <w:rFonts w:eastAsia="Times New Roman"/>
          <w:color w:val="000000"/>
          <w:shd w:val="clear" w:color="auto" w:fill="FFFFFF"/>
          <w:lang w:val="ru-RU"/>
        </w:rPr>
        <w:t xml:space="preserve">8. Настоящий Стандарт </w:t>
      </w:r>
      <w:r w:rsidRPr="000D2839">
        <w:rPr>
          <w:rFonts w:eastAsia="Times New Roman"/>
          <w:b/>
          <w:bCs/>
          <w:color w:val="000000"/>
          <w:shd w:val="clear" w:color="auto" w:fill="FFFFFF"/>
          <w:lang w:val="ru-RU"/>
        </w:rPr>
        <w:t>не распространяется</w:t>
      </w:r>
      <w:r w:rsidRPr="00504885">
        <w:rPr>
          <w:rFonts w:eastAsia="Times New Roman"/>
          <w:color w:val="000000"/>
          <w:shd w:val="clear" w:color="auto" w:fill="FFFFFF"/>
          <w:lang w:val="ru-RU"/>
        </w:rPr>
        <w:t xml:space="preserve"> на:</w:t>
      </w:r>
    </w:p>
    <w:p w14:paraId="011738A3" w14:textId="6F0227D4" w:rsidR="00504885" w:rsidRPr="00CE7541" w:rsidRDefault="00504885" w:rsidP="0050488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504885">
        <w:rPr>
          <w:rFonts w:eastAsia="Times New Roman"/>
          <w:color w:val="000000"/>
          <w:shd w:val="clear" w:color="auto" w:fill="FFFFFF"/>
          <w:lang w:val="ru-RU"/>
        </w:rPr>
        <w:t>е) средства индивидуализации (например, фирменные наименования</w:t>
      </w:r>
      <w:r w:rsidRPr="00504885">
        <w:rPr>
          <w:rFonts w:eastAsia="Times New Roman"/>
          <w:b/>
          <w:bCs/>
          <w:color w:val="000000"/>
          <w:shd w:val="clear" w:color="auto" w:fill="FFFFFF"/>
          <w:lang w:val="ru-RU"/>
        </w:rPr>
        <w:t>, товарные знаки</w:t>
      </w:r>
      <w:r w:rsidRPr="00504885">
        <w:rPr>
          <w:rFonts w:eastAsia="Times New Roman"/>
          <w:color w:val="000000"/>
          <w:shd w:val="clear" w:color="auto" w:fill="FFFFFF"/>
          <w:lang w:val="ru-RU"/>
        </w:rPr>
        <w:t>, знаки обслуживания), созданные собственными силами организации;</w:t>
      </w:r>
    </w:p>
    <w:sectPr w:rsidR="00504885" w:rsidRPr="00CE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197"/>
    <w:multiLevelType w:val="multilevel"/>
    <w:tmpl w:val="EFFA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B41B6"/>
    <w:multiLevelType w:val="hybridMultilevel"/>
    <w:tmpl w:val="FFA4F836"/>
    <w:lvl w:ilvl="0" w:tplc="629430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C32D3F"/>
    <w:multiLevelType w:val="hybridMultilevel"/>
    <w:tmpl w:val="E3F23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4EF3"/>
    <w:multiLevelType w:val="multilevel"/>
    <w:tmpl w:val="F0A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86841">
    <w:abstractNumId w:val="2"/>
  </w:num>
  <w:num w:numId="2" w16cid:durableId="1341858979">
    <w:abstractNumId w:val="1"/>
  </w:num>
  <w:num w:numId="3" w16cid:durableId="1662661495">
    <w:abstractNumId w:val="0"/>
  </w:num>
  <w:num w:numId="4" w16cid:durableId="1890452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3B"/>
    <w:rsid w:val="000032E7"/>
    <w:rsid w:val="00014950"/>
    <w:rsid w:val="0003464E"/>
    <w:rsid w:val="00037AEC"/>
    <w:rsid w:val="000472D2"/>
    <w:rsid w:val="00064444"/>
    <w:rsid w:val="000732EE"/>
    <w:rsid w:val="00081D43"/>
    <w:rsid w:val="000B6EA1"/>
    <w:rsid w:val="000C215A"/>
    <w:rsid w:val="000C5FC2"/>
    <w:rsid w:val="000C6DDA"/>
    <w:rsid w:val="000D2839"/>
    <w:rsid w:val="000E319F"/>
    <w:rsid w:val="000E73A9"/>
    <w:rsid w:val="000F0EDE"/>
    <w:rsid w:val="000F3AF3"/>
    <w:rsid w:val="0013038F"/>
    <w:rsid w:val="00144780"/>
    <w:rsid w:val="0015643B"/>
    <w:rsid w:val="00160B4D"/>
    <w:rsid w:val="0016216E"/>
    <w:rsid w:val="00170BEF"/>
    <w:rsid w:val="00172368"/>
    <w:rsid w:val="001763EF"/>
    <w:rsid w:val="00184D9E"/>
    <w:rsid w:val="00187D80"/>
    <w:rsid w:val="00191669"/>
    <w:rsid w:val="001A106B"/>
    <w:rsid w:val="001B5F39"/>
    <w:rsid w:val="001B704D"/>
    <w:rsid w:val="001D3FFD"/>
    <w:rsid w:val="001E128D"/>
    <w:rsid w:val="001E7E15"/>
    <w:rsid w:val="001F3364"/>
    <w:rsid w:val="001F3CF6"/>
    <w:rsid w:val="001F6557"/>
    <w:rsid w:val="001F7BB3"/>
    <w:rsid w:val="00234EB1"/>
    <w:rsid w:val="00241814"/>
    <w:rsid w:val="002478CB"/>
    <w:rsid w:val="00260D23"/>
    <w:rsid w:val="00261AFB"/>
    <w:rsid w:val="00267D8E"/>
    <w:rsid w:val="00276B73"/>
    <w:rsid w:val="00276C28"/>
    <w:rsid w:val="00293346"/>
    <w:rsid w:val="002B012D"/>
    <w:rsid w:val="002C3CF9"/>
    <w:rsid w:val="002C6D9C"/>
    <w:rsid w:val="002D7B4F"/>
    <w:rsid w:val="002D7ED5"/>
    <w:rsid w:val="00303003"/>
    <w:rsid w:val="003123FF"/>
    <w:rsid w:val="003261EA"/>
    <w:rsid w:val="00333B04"/>
    <w:rsid w:val="00341349"/>
    <w:rsid w:val="00357040"/>
    <w:rsid w:val="00360041"/>
    <w:rsid w:val="003623B0"/>
    <w:rsid w:val="003719A7"/>
    <w:rsid w:val="00380F32"/>
    <w:rsid w:val="00392CB9"/>
    <w:rsid w:val="003972B9"/>
    <w:rsid w:val="003B0928"/>
    <w:rsid w:val="003B5F4B"/>
    <w:rsid w:val="003B5FC0"/>
    <w:rsid w:val="003C3569"/>
    <w:rsid w:val="003C5238"/>
    <w:rsid w:val="003E2587"/>
    <w:rsid w:val="003E2F5B"/>
    <w:rsid w:val="003E3124"/>
    <w:rsid w:val="003F2691"/>
    <w:rsid w:val="00404908"/>
    <w:rsid w:val="00406211"/>
    <w:rsid w:val="00406F48"/>
    <w:rsid w:val="00414763"/>
    <w:rsid w:val="00414AF3"/>
    <w:rsid w:val="00433875"/>
    <w:rsid w:val="00442C6C"/>
    <w:rsid w:val="00445446"/>
    <w:rsid w:val="00445DA7"/>
    <w:rsid w:val="00467C7C"/>
    <w:rsid w:val="004870B1"/>
    <w:rsid w:val="0049367B"/>
    <w:rsid w:val="0049516C"/>
    <w:rsid w:val="0049720E"/>
    <w:rsid w:val="004B3996"/>
    <w:rsid w:val="004B6FA2"/>
    <w:rsid w:val="0050095C"/>
    <w:rsid w:val="00504885"/>
    <w:rsid w:val="005214C9"/>
    <w:rsid w:val="00525FA3"/>
    <w:rsid w:val="00554C34"/>
    <w:rsid w:val="0056035F"/>
    <w:rsid w:val="00562023"/>
    <w:rsid w:val="00562B1C"/>
    <w:rsid w:val="0058599F"/>
    <w:rsid w:val="00586227"/>
    <w:rsid w:val="00586D3C"/>
    <w:rsid w:val="005957E4"/>
    <w:rsid w:val="005A105B"/>
    <w:rsid w:val="005B20AA"/>
    <w:rsid w:val="005B4E69"/>
    <w:rsid w:val="005B569A"/>
    <w:rsid w:val="005B642C"/>
    <w:rsid w:val="005C3BF3"/>
    <w:rsid w:val="0060207D"/>
    <w:rsid w:val="00621F84"/>
    <w:rsid w:val="00622F90"/>
    <w:rsid w:val="00625DEB"/>
    <w:rsid w:val="006375B4"/>
    <w:rsid w:val="00646F6F"/>
    <w:rsid w:val="00650573"/>
    <w:rsid w:val="006533D1"/>
    <w:rsid w:val="00672730"/>
    <w:rsid w:val="00683EB4"/>
    <w:rsid w:val="0068654F"/>
    <w:rsid w:val="006900FF"/>
    <w:rsid w:val="00695C65"/>
    <w:rsid w:val="006974D4"/>
    <w:rsid w:val="006C71B8"/>
    <w:rsid w:val="006D47E2"/>
    <w:rsid w:val="006F076C"/>
    <w:rsid w:val="006F5A50"/>
    <w:rsid w:val="00703AB1"/>
    <w:rsid w:val="00704433"/>
    <w:rsid w:val="00717F3D"/>
    <w:rsid w:val="0072105F"/>
    <w:rsid w:val="00722C43"/>
    <w:rsid w:val="0073709C"/>
    <w:rsid w:val="007479C3"/>
    <w:rsid w:val="007556ED"/>
    <w:rsid w:val="00760275"/>
    <w:rsid w:val="0076410B"/>
    <w:rsid w:val="00766E74"/>
    <w:rsid w:val="007A4638"/>
    <w:rsid w:val="007B7A3A"/>
    <w:rsid w:val="007D1337"/>
    <w:rsid w:val="007E5CAD"/>
    <w:rsid w:val="0080423B"/>
    <w:rsid w:val="00810161"/>
    <w:rsid w:val="00831974"/>
    <w:rsid w:val="008508BE"/>
    <w:rsid w:val="00851DF7"/>
    <w:rsid w:val="008546E9"/>
    <w:rsid w:val="008737FD"/>
    <w:rsid w:val="008741BF"/>
    <w:rsid w:val="0088002B"/>
    <w:rsid w:val="0088350A"/>
    <w:rsid w:val="008C7AC1"/>
    <w:rsid w:val="008D6F8E"/>
    <w:rsid w:val="008E0CCD"/>
    <w:rsid w:val="008E51CD"/>
    <w:rsid w:val="00902BE3"/>
    <w:rsid w:val="00937E2D"/>
    <w:rsid w:val="00960B1E"/>
    <w:rsid w:val="00961A69"/>
    <w:rsid w:val="00967376"/>
    <w:rsid w:val="009811F5"/>
    <w:rsid w:val="00984949"/>
    <w:rsid w:val="009953F3"/>
    <w:rsid w:val="00995759"/>
    <w:rsid w:val="009C7A12"/>
    <w:rsid w:val="009E4C9C"/>
    <w:rsid w:val="009F5774"/>
    <w:rsid w:val="00A068FB"/>
    <w:rsid w:val="00A16F9C"/>
    <w:rsid w:val="00A2047C"/>
    <w:rsid w:val="00A47758"/>
    <w:rsid w:val="00A55C2A"/>
    <w:rsid w:val="00A60EC1"/>
    <w:rsid w:val="00A60F60"/>
    <w:rsid w:val="00A754AC"/>
    <w:rsid w:val="00A75F08"/>
    <w:rsid w:val="00A84E95"/>
    <w:rsid w:val="00A876BD"/>
    <w:rsid w:val="00AA63F6"/>
    <w:rsid w:val="00AA68C8"/>
    <w:rsid w:val="00B00CE3"/>
    <w:rsid w:val="00B021E7"/>
    <w:rsid w:val="00B02CCF"/>
    <w:rsid w:val="00B14A46"/>
    <w:rsid w:val="00B25A5D"/>
    <w:rsid w:val="00B33834"/>
    <w:rsid w:val="00B33AD8"/>
    <w:rsid w:val="00B3689F"/>
    <w:rsid w:val="00B44C3E"/>
    <w:rsid w:val="00B502F9"/>
    <w:rsid w:val="00B5585A"/>
    <w:rsid w:val="00B605C0"/>
    <w:rsid w:val="00B83BF8"/>
    <w:rsid w:val="00BA215B"/>
    <w:rsid w:val="00BB235F"/>
    <w:rsid w:val="00BC2F8C"/>
    <w:rsid w:val="00BC3D94"/>
    <w:rsid w:val="00BC5E72"/>
    <w:rsid w:val="00BD450B"/>
    <w:rsid w:val="00BE0D74"/>
    <w:rsid w:val="00BF0355"/>
    <w:rsid w:val="00BF23E2"/>
    <w:rsid w:val="00BF2A50"/>
    <w:rsid w:val="00BF454E"/>
    <w:rsid w:val="00C1023A"/>
    <w:rsid w:val="00C107C6"/>
    <w:rsid w:val="00C13DE0"/>
    <w:rsid w:val="00C16F40"/>
    <w:rsid w:val="00C220F9"/>
    <w:rsid w:val="00C34B4F"/>
    <w:rsid w:val="00C52964"/>
    <w:rsid w:val="00C61E10"/>
    <w:rsid w:val="00C62872"/>
    <w:rsid w:val="00C97669"/>
    <w:rsid w:val="00CB74BE"/>
    <w:rsid w:val="00CC0C90"/>
    <w:rsid w:val="00CD3DAE"/>
    <w:rsid w:val="00CE7541"/>
    <w:rsid w:val="00CF6B07"/>
    <w:rsid w:val="00D052E3"/>
    <w:rsid w:val="00D2370C"/>
    <w:rsid w:val="00D273FE"/>
    <w:rsid w:val="00D31C80"/>
    <w:rsid w:val="00D351BE"/>
    <w:rsid w:val="00D40989"/>
    <w:rsid w:val="00D5109A"/>
    <w:rsid w:val="00D60757"/>
    <w:rsid w:val="00D67771"/>
    <w:rsid w:val="00D80F94"/>
    <w:rsid w:val="00DA14ED"/>
    <w:rsid w:val="00DB7A73"/>
    <w:rsid w:val="00DC100B"/>
    <w:rsid w:val="00DC4894"/>
    <w:rsid w:val="00DD3940"/>
    <w:rsid w:val="00DD43FD"/>
    <w:rsid w:val="00DD6874"/>
    <w:rsid w:val="00E0087F"/>
    <w:rsid w:val="00E008AF"/>
    <w:rsid w:val="00E02898"/>
    <w:rsid w:val="00E30034"/>
    <w:rsid w:val="00E36982"/>
    <w:rsid w:val="00E41326"/>
    <w:rsid w:val="00E53E37"/>
    <w:rsid w:val="00E958D9"/>
    <w:rsid w:val="00EA3B13"/>
    <w:rsid w:val="00ED42D7"/>
    <w:rsid w:val="00EE5083"/>
    <w:rsid w:val="00F06AAF"/>
    <w:rsid w:val="00F1112E"/>
    <w:rsid w:val="00F14AA4"/>
    <w:rsid w:val="00F20F6B"/>
    <w:rsid w:val="00F46D91"/>
    <w:rsid w:val="00F6312A"/>
    <w:rsid w:val="00F77BDC"/>
    <w:rsid w:val="00F80D76"/>
    <w:rsid w:val="00F91692"/>
    <w:rsid w:val="00F95DC2"/>
    <w:rsid w:val="00FE007B"/>
    <w:rsid w:val="00FF471A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8208"/>
  <w15:chartTrackingRefBased/>
  <w15:docId w15:val="{720FCAFA-EA21-4C74-81F2-0E66D80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7B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4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643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43B"/>
    <w:rPr>
      <w:rFonts w:ascii="Arial" w:eastAsia="Arial" w:hAnsi="Arial" w:cs="Arial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5643B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character" w:styleId="a3">
    <w:name w:val="Hyperlink"/>
    <w:basedOn w:val="a0"/>
    <w:uiPriority w:val="99"/>
    <w:unhideWhenUsed/>
    <w:rsid w:val="00C34B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4B4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F6F"/>
    <w:rPr>
      <w:color w:val="605E5C"/>
      <w:shd w:val="clear" w:color="auto" w:fill="E1DFDD"/>
    </w:rPr>
  </w:style>
  <w:style w:type="character" w:customStyle="1" w:styleId="docdata">
    <w:name w:val="docdata"/>
    <w:aliases w:val="docy,v5,1846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191669"/>
  </w:style>
  <w:style w:type="paragraph" w:styleId="a6">
    <w:name w:val="Normal (Web)"/>
    <w:basedOn w:val="a"/>
    <w:uiPriority w:val="99"/>
    <w:unhideWhenUsed/>
    <w:rsid w:val="0056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3996"/>
    <w:pPr>
      <w:ind w:left="720"/>
      <w:contextualSpacing/>
    </w:pPr>
  </w:style>
  <w:style w:type="character" w:styleId="a8">
    <w:name w:val="Strong"/>
    <w:basedOn w:val="a0"/>
    <w:uiPriority w:val="22"/>
    <w:qFormat/>
    <w:rsid w:val="00F77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40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99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s.dev.ss.aservices.te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s.dev.ss.aservices.te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s.dev.ss.aservices.tec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ss.dev.ss.aservices.tech/" TargetMode="External"/><Relationship Id="rId10" Type="http://schemas.openxmlformats.org/officeDocument/2006/relationships/hyperlink" Target="https://bss.dev.ss.aservices.te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s.dev.ss.aservices.te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Савкова</dc:creator>
  <cp:keywords/>
  <dc:description/>
  <cp:lastModifiedBy>Людмила Савкова</cp:lastModifiedBy>
  <cp:revision>167</cp:revision>
  <cp:lastPrinted>2023-10-17T05:15:00Z</cp:lastPrinted>
  <dcterms:created xsi:type="dcterms:W3CDTF">2025-02-18T06:10:00Z</dcterms:created>
  <dcterms:modified xsi:type="dcterms:W3CDTF">2025-11-11T09:16:00Z</dcterms:modified>
</cp:coreProperties>
</file>