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177" w:rsidRDefault="00FB7177" w:rsidP="004668BB">
      <w:pPr>
        <w:spacing w:line="240" w:lineRule="auto"/>
        <w:ind w:firstLine="708"/>
        <w:jc w:val="center"/>
        <w:rPr>
          <w:rFonts w:ascii="Times New Roman" w:hAnsi="Times New Roman" w:cs="Times New Roman"/>
          <w:b/>
          <w:sz w:val="36"/>
        </w:rPr>
      </w:pPr>
      <w:r w:rsidRPr="00FB7177">
        <w:rPr>
          <w:rFonts w:ascii="Times New Roman" w:hAnsi="Times New Roman" w:cs="Times New Roman"/>
          <w:b/>
          <w:sz w:val="36"/>
        </w:rPr>
        <w:t xml:space="preserve">Материалы П.Ю. </w:t>
      </w:r>
      <w:proofErr w:type="spellStart"/>
      <w:r w:rsidRPr="00FB7177">
        <w:rPr>
          <w:rFonts w:ascii="Times New Roman" w:hAnsi="Times New Roman" w:cs="Times New Roman"/>
          <w:b/>
          <w:sz w:val="36"/>
        </w:rPr>
        <w:t>Гамольского</w:t>
      </w:r>
      <w:proofErr w:type="spellEnd"/>
      <w:r w:rsidRPr="00FB7177">
        <w:rPr>
          <w:rFonts w:ascii="Times New Roman" w:hAnsi="Times New Roman" w:cs="Times New Roman"/>
          <w:b/>
          <w:sz w:val="36"/>
        </w:rPr>
        <w:t xml:space="preserve"> </w:t>
      </w:r>
    </w:p>
    <w:p w:rsidR="006531B6" w:rsidRPr="007A3B62" w:rsidRDefault="00FB7177" w:rsidP="004668BB">
      <w:pPr>
        <w:spacing w:line="240" w:lineRule="auto"/>
        <w:ind w:firstLine="708"/>
        <w:jc w:val="center"/>
        <w:rPr>
          <w:rFonts w:ascii="Times New Roman" w:hAnsi="Times New Roman" w:cs="Times New Roman"/>
          <w:b/>
          <w:sz w:val="36"/>
        </w:rPr>
      </w:pPr>
      <w:r w:rsidRPr="00FB7177">
        <w:rPr>
          <w:rFonts w:ascii="Times New Roman" w:hAnsi="Times New Roman" w:cs="Times New Roman"/>
          <w:b/>
          <w:sz w:val="36"/>
        </w:rPr>
        <w:t xml:space="preserve">к вебинару </w:t>
      </w:r>
      <w:r w:rsidR="006531B6">
        <w:rPr>
          <w:rFonts w:ascii="Times New Roman" w:hAnsi="Times New Roman" w:cs="Times New Roman"/>
          <w:b/>
          <w:sz w:val="36"/>
        </w:rPr>
        <w:t xml:space="preserve">14 октября 2025 г. </w:t>
      </w:r>
    </w:p>
    <w:p w:rsidR="006531B6" w:rsidRPr="007A3B62" w:rsidRDefault="006531B6" w:rsidP="004668BB">
      <w:pPr>
        <w:spacing w:line="240" w:lineRule="auto"/>
        <w:ind w:firstLine="708"/>
        <w:jc w:val="center"/>
        <w:rPr>
          <w:rFonts w:ascii="Times New Roman" w:hAnsi="Times New Roman" w:cs="Times New Roman"/>
          <w:b/>
          <w:sz w:val="36"/>
        </w:rPr>
      </w:pP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b/>
          <w:sz w:val="36"/>
        </w:rPr>
        <w:t>5. Ирина Витальевна Р.</w:t>
      </w:r>
    </w:p>
    <w:p w:rsidR="006531B6" w:rsidRPr="007A3B62" w:rsidRDefault="006531B6" w:rsidP="004668BB">
      <w:pPr>
        <w:pBdr>
          <w:top w:val="none" w:sz="4" w:space="0" w:color="000000"/>
          <w:left w:val="none" w:sz="4" w:space="0" w:color="000000"/>
          <w:bottom w:val="none" w:sz="4" w:space="0" w:color="000000"/>
          <w:right w:val="none" w:sz="4" w:space="0" w:color="000000"/>
        </w:pBdr>
        <w:spacing w:line="240" w:lineRule="auto"/>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Вопрос о применении НДС с 2026г.</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Наше учреждение является СО НКО на сегодняшний день НДС, оказываем платные социальные услуги пожилым гражданам, признанным управлением социальной защиты населения нуждающимися в социальном обслуживании. Имеем мы право на  освобождение от НДС согласно статье 149 НК РФ?</w:t>
      </w:r>
    </w:p>
    <w:p w:rsidR="0003056F" w:rsidRDefault="0003056F" w:rsidP="004668BB">
      <w:pPr>
        <w:spacing w:line="240" w:lineRule="auto"/>
        <w:ind w:firstLine="708"/>
        <w:jc w:val="both"/>
        <w:rPr>
          <w:rFonts w:ascii="Times New Roman" w:hAnsi="Times New Roman" w:cs="Times New Roman"/>
          <w:sz w:val="36"/>
        </w:rPr>
      </w:pPr>
    </w:p>
    <w:p w:rsidR="0003056F" w:rsidRPr="0003056F" w:rsidRDefault="0003056F" w:rsidP="004668BB">
      <w:pPr>
        <w:spacing w:line="240" w:lineRule="auto"/>
        <w:ind w:firstLine="708"/>
        <w:jc w:val="center"/>
        <w:rPr>
          <w:rFonts w:ascii="Times New Roman" w:hAnsi="Times New Roman" w:cs="Times New Roman"/>
          <w:b/>
          <w:bCs/>
          <w:sz w:val="28"/>
          <w:szCs w:val="28"/>
        </w:rPr>
      </w:pPr>
      <w:r w:rsidRPr="0003056F">
        <w:rPr>
          <w:rFonts w:ascii="Times New Roman" w:hAnsi="Times New Roman" w:cs="Times New Roman"/>
          <w:b/>
          <w:bCs/>
          <w:sz w:val="28"/>
          <w:szCs w:val="28"/>
        </w:rPr>
        <w:t xml:space="preserve">"Налоговый кодекс Российской Федерации (часть вторая)" от 05.08.2000 </w:t>
      </w:r>
      <w:r w:rsidRPr="00344C55">
        <w:rPr>
          <w:rFonts w:ascii="Times New Roman" w:hAnsi="Times New Roman" w:cs="Times New Roman"/>
          <w:b/>
          <w:bCs/>
          <w:sz w:val="28"/>
          <w:szCs w:val="28"/>
        </w:rPr>
        <w:t>№</w:t>
      </w:r>
      <w:r w:rsidRPr="0003056F">
        <w:rPr>
          <w:rFonts w:ascii="Times New Roman" w:hAnsi="Times New Roman" w:cs="Times New Roman"/>
          <w:b/>
          <w:bCs/>
          <w:sz w:val="28"/>
          <w:szCs w:val="28"/>
        </w:rPr>
        <w:t xml:space="preserve"> 117-ФЗ</w:t>
      </w:r>
    </w:p>
    <w:p w:rsidR="0003056F" w:rsidRPr="00344C55" w:rsidRDefault="0003056F" w:rsidP="004668BB">
      <w:pPr>
        <w:spacing w:line="240" w:lineRule="auto"/>
        <w:ind w:firstLine="708"/>
        <w:jc w:val="both"/>
        <w:rPr>
          <w:rFonts w:ascii="Times New Roman" w:hAnsi="Times New Roman" w:cs="Times New Roman"/>
          <w:sz w:val="28"/>
          <w:szCs w:val="28"/>
        </w:rPr>
      </w:pPr>
    </w:p>
    <w:p w:rsidR="0003056F" w:rsidRPr="0003056F" w:rsidRDefault="0003056F" w:rsidP="004668BB">
      <w:pPr>
        <w:spacing w:line="240" w:lineRule="auto"/>
        <w:ind w:firstLine="708"/>
        <w:jc w:val="both"/>
        <w:rPr>
          <w:rFonts w:ascii="Times New Roman" w:hAnsi="Times New Roman" w:cs="Times New Roman"/>
          <w:sz w:val="28"/>
          <w:szCs w:val="28"/>
        </w:rPr>
      </w:pPr>
      <w:r w:rsidRPr="0003056F">
        <w:rPr>
          <w:rFonts w:ascii="Times New Roman" w:hAnsi="Times New Roman" w:cs="Times New Roman"/>
          <w:sz w:val="28"/>
          <w:szCs w:val="28"/>
        </w:rPr>
        <w:t>Статья 149. Операции, не подлежащие налогообложению (освобождаемые от налогообложения)</w:t>
      </w:r>
    </w:p>
    <w:p w:rsidR="0003056F" w:rsidRPr="0003056F" w:rsidRDefault="0003056F" w:rsidP="004668BB">
      <w:pPr>
        <w:spacing w:line="240" w:lineRule="auto"/>
        <w:ind w:firstLine="708"/>
        <w:jc w:val="both"/>
        <w:rPr>
          <w:rFonts w:ascii="Times New Roman" w:hAnsi="Times New Roman" w:cs="Times New Roman"/>
          <w:sz w:val="28"/>
          <w:szCs w:val="28"/>
        </w:rPr>
      </w:pPr>
      <w:r w:rsidRPr="0003056F">
        <w:rPr>
          <w:rFonts w:ascii="Times New Roman" w:hAnsi="Times New Roman" w:cs="Times New Roman"/>
          <w:sz w:val="28"/>
          <w:szCs w:val="28"/>
        </w:rPr>
        <w:t>2.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w:t>
      </w:r>
    </w:p>
    <w:p w:rsidR="006531B6" w:rsidRPr="00344C55" w:rsidRDefault="006531B6"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14.1) услуг по социальному обслуживанию несовершеннолетних детей; услуг по поддержке и социальному обслуживанию граждан пожилого возраста, инвалидов, безнадзорных детей и иных граждан, которые признаны нуждающимися в социальном обслуживании и которым предоставляются социальные услуги в организациях социального обслуживания в соответствии с законодательством Российской Федерации о социальном обслуживании и (или) законодательством Российской Федерации о профилактике безнадзорности и правонарушений несовершеннолетних.</w:t>
      </w:r>
    </w:p>
    <w:p w:rsidR="00B47C15" w:rsidRPr="00344C55" w:rsidRDefault="00B47C15"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5. Налогоплательщик, осуществляющий операции по реализации товаров (работ, услуг), предусмотренные пунктом 3 настоящей статьи, вправе отказаться от освобождения таких операций от налогообложения, представив соответствующее заявление в налоговый орган по месту учета в срок не позднее 1-го числа налогового периода, с которого налогоплательщик намерен отказаться от освобождения или приостановить его использование.</w:t>
      </w:r>
    </w:p>
    <w:p w:rsidR="00B47C15" w:rsidRPr="00344C55" w:rsidRDefault="00B47C15"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Такой отказ или приостановление возможен только в отношении всех осуществляемых налогоплательщиком операций, предусмотренных одним или несколькими подпунктами пункта 3 настоящей статьи. Не допускается, чтобы подобные операции освобождались или не освобождались от налогообложения в зависимости от того, кто является покупателем (приобретателем) соответствующих товаров (работ, услуг).</w:t>
      </w:r>
    </w:p>
    <w:p w:rsidR="00B47C15" w:rsidRPr="00344C55" w:rsidRDefault="00B47C15"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lastRenderedPageBreak/>
        <w:t>Не допускается отказ или приостановление от освобождения от налогообложения операций на срок менее одного года.</w:t>
      </w:r>
    </w:p>
    <w:p w:rsidR="00B47C15" w:rsidRPr="00344C55" w:rsidRDefault="00B47C15"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6. Перечисленные в настоящей статье операции не подлежат налогообложению (освобождаются от налогообложения) при наличии у налогоплательщиков, осуществляющих эти операции, соответствующих лицензий на осуществление деятельности, лицензируемой в соответствии с законодательством Российской Федерации, если иное не предусмотрено настоящим пунктом.</w:t>
      </w:r>
    </w:p>
    <w:p w:rsidR="00B47C15" w:rsidRPr="00344C55" w:rsidRDefault="00B47C15" w:rsidP="004668BB">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8. При изменении редакции пунктов 1-3 настоящей статьи (отмене освобождения от налогообложения или отнесении налогооблагаемых операций к операциям, не подлежащим налогообложению) налогоплательщиками применяется тот порядок определения налоговой базы (или освобождения от налогообложения), который действовал на дату отгрузки товаров (работ, услуг) вне зависимости от даты их оплаты.</w:t>
      </w:r>
    </w:p>
    <w:p w:rsidR="00FB7177" w:rsidRPr="00344C55" w:rsidRDefault="00FB7177" w:rsidP="004668BB">
      <w:pPr>
        <w:spacing w:line="240" w:lineRule="auto"/>
        <w:ind w:firstLine="708"/>
        <w:jc w:val="both"/>
        <w:rPr>
          <w:rFonts w:ascii="Times New Roman" w:hAnsi="Times New Roman" w:cs="Times New Roman"/>
          <w:sz w:val="28"/>
          <w:szCs w:val="28"/>
        </w:rPr>
      </w:pPr>
    </w:p>
    <w:p w:rsidR="00FB7177" w:rsidRPr="00FB7177" w:rsidRDefault="00FB7177" w:rsidP="004668BB">
      <w:pPr>
        <w:spacing w:line="240" w:lineRule="auto"/>
        <w:ind w:firstLine="720"/>
        <w:jc w:val="center"/>
        <w:rPr>
          <w:rFonts w:ascii="Times New Roman" w:hAnsi="Times New Roman"/>
          <w:b/>
          <w:bCs/>
          <w:sz w:val="28"/>
          <w:szCs w:val="28"/>
          <w:lang w:eastAsia="ru-RU"/>
        </w:rPr>
      </w:pPr>
      <w:r w:rsidRPr="00FB7177">
        <w:rPr>
          <w:rFonts w:ascii="Times New Roman" w:hAnsi="Times New Roman"/>
          <w:b/>
          <w:bCs/>
          <w:sz w:val="28"/>
          <w:szCs w:val="28"/>
          <w:lang w:eastAsia="ru-RU"/>
        </w:rPr>
        <w:t>Налоговый кодекс РФ</w:t>
      </w:r>
    </w:p>
    <w:p w:rsidR="00FB7177" w:rsidRDefault="00FB7177" w:rsidP="004668BB">
      <w:pPr>
        <w:spacing w:line="240" w:lineRule="auto"/>
        <w:ind w:firstLine="720"/>
        <w:jc w:val="both"/>
        <w:rPr>
          <w:rFonts w:ascii="Times New Roman" w:hAnsi="Times New Roman"/>
          <w:sz w:val="28"/>
          <w:szCs w:val="28"/>
          <w:lang w:eastAsia="ru-RU"/>
        </w:rPr>
      </w:pPr>
    </w:p>
    <w:p w:rsidR="00FB7177" w:rsidRPr="00FB7177" w:rsidRDefault="00FB7177" w:rsidP="004668BB">
      <w:pPr>
        <w:spacing w:line="240" w:lineRule="auto"/>
        <w:ind w:firstLine="720"/>
        <w:jc w:val="both"/>
        <w:rPr>
          <w:rFonts w:ascii="Times New Roman" w:hAnsi="Times New Roman"/>
          <w:sz w:val="28"/>
          <w:szCs w:val="28"/>
          <w:lang w:eastAsia="ru-RU"/>
        </w:rPr>
      </w:pPr>
      <w:r>
        <w:rPr>
          <w:rFonts w:ascii="Times New Roman" w:hAnsi="Times New Roman"/>
          <w:sz w:val="28"/>
          <w:szCs w:val="28"/>
          <w:lang w:eastAsia="ru-RU"/>
        </w:rPr>
        <w:t>Д</w:t>
      </w:r>
      <w:r w:rsidRPr="00FB7177">
        <w:rPr>
          <w:rFonts w:ascii="Times New Roman" w:hAnsi="Times New Roman"/>
          <w:sz w:val="28"/>
          <w:szCs w:val="28"/>
          <w:lang w:eastAsia="ru-RU"/>
        </w:rPr>
        <w:t>ействующая редакция ст. 145 НК РФ содержит запись:</w:t>
      </w:r>
    </w:p>
    <w:p w:rsidR="00FB7177" w:rsidRPr="00FB7177" w:rsidRDefault="00FB7177" w:rsidP="004668BB">
      <w:pPr>
        <w:spacing w:line="240" w:lineRule="auto"/>
        <w:ind w:firstLine="720"/>
        <w:jc w:val="both"/>
        <w:rPr>
          <w:rFonts w:ascii="Times New Roman" w:hAnsi="Times New Roman"/>
          <w:sz w:val="28"/>
          <w:szCs w:val="28"/>
          <w:lang w:eastAsia="ru-RU"/>
        </w:rPr>
      </w:pPr>
      <w:r w:rsidRPr="00FB7177">
        <w:rPr>
          <w:rFonts w:ascii="Times New Roman" w:hAnsi="Times New Roman"/>
          <w:sz w:val="28"/>
          <w:szCs w:val="28"/>
          <w:lang w:eastAsia="ru-RU"/>
        </w:rPr>
        <w:t>"Если в течение налогового периода по налогу, уплачиваемому в связи с применением упрощенной системы налогообложения, у организации &lt;...&gt; , указанных в абзаце третьем пункта 1 настоящей статьи, сумма доходов, определяемых в соответствии со статьей 346.15 и подпунктами 1 и 3 пункта 1 статьи 346.25 настоящего Кодекса, превысила в совокупности 60 миллионов рублей, такие организация &lt;...&gt; начиная с 1-го числа месяца, следующего за месяцем, в котором имело место такое превышение, начинает исполнять обязанности налогоплательщика",</w:t>
      </w:r>
    </w:p>
    <w:p w:rsidR="00FB7177" w:rsidRPr="00FB7177" w:rsidRDefault="00FB7177" w:rsidP="004668BB">
      <w:pPr>
        <w:spacing w:line="240" w:lineRule="auto"/>
        <w:ind w:firstLine="720"/>
        <w:jc w:val="both"/>
        <w:rPr>
          <w:rFonts w:ascii="Times New Roman" w:hAnsi="Times New Roman"/>
          <w:sz w:val="28"/>
          <w:szCs w:val="28"/>
          <w:lang w:eastAsia="ru-RU"/>
        </w:rPr>
      </w:pPr>
      <w:r w:rsidRPr="00FB7177">
        <w:rPr>
          <w:rFonts w:ascii="Times New Roman" w:hAnsi="Times New Roman"/>
          <w:sz w:val="28"/>
          <w:szCs w:val="28"/>
          <w:lang w:eastAsia="ru-RU"/>
        </w:rPr>
        <w:t>то есть речь идёт о сумме доходов, учитываемых для УСН.</w:t>
      </w:r>
    </w:p>
    <w:p w:rsidR="00FB7177" w:rsidRPr="007A0553" w:rsidRDefault="00FB7177" w:rsidP="004668BB">
      <w:pPr>
        <w:spacing w:line="240" w:lineRule="auto"/>
        <w:ind w:firstLine="720"/>
        <w:jc w:val="both"/>
        <w:rPr>
          <w:rFonts w:ascii="Times New Roman" w:hAnsi="Times New Roman"/>
          <w:sz w:val="24"/>
          <w:szCs w:val="24"/>
          <w:lang w:eastAsia="ru-RU"/>
        </w:rPr>
      </w:pPr>
    </w:p>
    <w:p w:rsidR="00FB7177" w:rsidRPr="00FB7177" w:rsidRDefault="00FB7177" w:rsidP="004668BB">
      <w:pPr>
        <w:spacing w:line="240" w:lineRule="auto"/>
        <w:ind w:firstLine="720"/>
        <w:jc w:val="both"/>
        <w:rPr>
          <w:rFonts w:ascii="Times New Roman" w:hAnsi="Times New Roman"/>
          <w:sz w:val="28"/>
          <w:szCs w:val="28"/>
          <w:lang w:eastAsia="ru-RU"/>
        </w:rPr>
      </w:pPr>
      <w:r w:rsidRPr="00FB7177">
        <w:rPr>
          <w:rFonts w:ascii="Times New Roman" w:hAnsi="Times New Roman"/>
          <w:sz w:val="28"/>
          <w:szCs w:val="28"/>
          <w:lang w:eastAsia="ru-RU"/>
        </w:rPr>
        <w:t>В законопроекте сумма 60 меняется на 10:</w:t>
      </w:r>
    </w:p>
    <w:p w:rsidR="0003056F" w:rsidRDefault="0003056F" w:rsidP="004668BB">
      <w:pPr>
        <w:spacing w:line="240" w:lineRule="auto"/>
        <w:ind w:firstLine="720"/>
        <w:jc w:val="both"/>
        <w:rPr>
          <w:rFonts w:ascii="Times New Roman" w:hAnsi="Times New Roman"/>
          <w:sz w:val="28"/>
          <w:szCs w:val="28"/>
          <w:lang w:eastAsia="ru-RU"/>
        </w:rPr>
      </w:pPr>
    </w:p>
    <w:p w:rsidR="0003056F" w:rsidRDefault="0003056F" w:rsidP="004668BB">
      <w:pPr>
        <w:spacing w:line="240" w:lineRule="auto"/>
        <w:ind w:firstLine="720"/>
        <w:jc w:val="center"/>
        <w:rPr>
          <w:rFonts w:ascii="Times New Roman" w:hAnsi="Times New Roman"/>
          <w:sz w:val="28"/>
          <w:szCs w:val="28"/>
          <w:lang w:eastAsia="ru-RU"/>
        </w:rPr>
      </w:pPr>
      <w:r w:rsidRPr="0003056F">
        <w:rPr>
          <w:rFonts w:ascii="Times New Roman" w:hAnsi="Times New Roman"/>
          <w:sz w:val="28"/>
          <w:szCs w:val="28"/>
          <w:lang w:eastAsia="ru-RU"/>
        </w:rPr>
        <w:t>Законопроект 1026190-8</w:t>
      </w:r>
    </w:p>
    <w:p w:rsidR="0003056F" w:rsidRPr="0003056F" w:rsidRDefault="0003056F" w:rsidP="004668BB">
      <w:pPr>
        <w:pStyle w:val="ab"/>
        <w:spacing w:before="0"/>
        <w:rPr>
          <w:rFonts w:ascii="Times New Roman" w:hAnsi="Times New Roman"/>
        </w:rPr>
      </w:pPr>
      <w:r w:rsidRPr="0003056F">
        <w:rPr>
          <w:rFonts w:ascii="Times New Roman" w:hAnsi="Times New Roman"/>
        </w:rPr>
        <w:t xml:space="preserve">О внесении изменений в части первую и вторую </w:t>
      </w:r>
      <w:r w:rsidRPr="0003056F">
        <w:rPr>
          <w:rFonts w:ascii="Times New Roman" w:hAnsi="Times New Roman"/>
        </w:rPr>
        <w:br/>
        <w:t xml:space="preserve">Налогового кодекса Российской Федерации и отдельные законодательные акты Российской Федерации </w:t>
      </w:r>
    </w:p>
    <w:p w:rsidR="0003056F" w:rsidRPr="0003056F" w:rsidRDefault="0003056F" w:rsidP="004668BB">
      <w:pPr>
        <w:spacing w:line="240" w:lineRule="auto"/>
        <w:ind w:firstLine="720"/>
        <w:jc w:val="both"/>
        <w:rPr>
          <w:rFonts w:ascii="Times New Roman" w:hAnsi="Times New Roman"/>
          <w:sz w:val="28"/>
          <w:szCs w:val="28"/>
          <w:lang w:eastAsia="ru-RU"/>
        </w:rPr>
      </w:pPr>
    </w:p>
    <w:p w:rsidR="0003056F" w:rsidRPr="0003056F" w:rsidRDefault="0003056F" w:rsidP="004668BB">
      <w:pPr>
        <w:spacing w:line="240" w:lineRule="auto"/>
        <w:ind w:firstLine="720"/>
        <w:jc w:val="center"/>
        <w:rPr>
          <w:rFonts w:ascii="Times New Roman" w:hAnsi="Times New Roman"/>
          <w:b/>
          <w:bCs/>
          <w:sz w:val="28"/>
          <w:szCs w:val="28"/>
          <w:lang w:eastAsia="ru-RU"/>
        </w:rPr>
      </w:pPr>
      <w:r w:rsidRPr="0003056F">
        <w:rPr>
          <w:rFonts w:ascii="Times New Roman" w:hAnsi="Times New Roman"/>
          <w:b/>
          <w:bCs/>
          <w:sz w:val="28"/>
          <w:szCs w:val="28"/>
          <w:lang w:eastAsia="ru-RU"/>
        </w:rPr>
        <w:t>https://sozd.duma.gov.ru/bill/1026190-8</w:t>
      </w:r>
    </w:p>
    <w:p w:rsidR="0003056F" w:rsidRDefault="0003056F" w:rsidP="004668BB">
      <w:pPr>
        <w:spacing w:line="240" w:lineRule="auto"/>
        <w:ind w:firstLine="720"/>
        <w:jc w:val="both"/>
        <w:rPr>
          <w:rFonts w:ascii="Times New Roman" w:hAnsi="Times New Roman"/>
          <w:sz w:val="28"/>
          <w:szCs w:val="28"/>
          <w:lang w:eastAsia="ru-RU"/>
        </w:rPr>
      </w:pPr>
      <w:r w:rsidRPr="0003056F">
        <w:rPr>
          <w:rFonts w:ascii="Times New Roman" w:hAnsi="Times New Roman"/>
          <w:sz w:val="28"/>
          <w:szCs w:val="28"/>
          <w:lang w:eastAsia="ru-RU"/>
        </w:rPr>
        <w:t>Плановая дата рассмотрения Государственной Думой: 22.10.2025</w:t>
      </w:r>
    </w:p>
    <w:p w:rsidR="0003056F" w:rsidRDefault="0003056F" w:rsidP="004668BB">
      <w:pPr>
        <w:spacing w:line="240" w:lineRule="auto"/>
        <w:ind w:firstLine="720"/>
        <w:jc w:val="both"/>
        <w:rPr>
          <w:rFonts w:ascii="Times New Roman" w:hAnsi="Times New Roman"/>
          <w:sz w:val="28"/>
          <w:szCs w:val="28"/>
          <w:lang w:eastAsia="ru-RU"/>
        </w:rPr>
      </w:pPr>
    </w:p>
    <w:p w:rsidR="0003056F" w:rsidRPr="0003056F" w:rsidRDefault="0003056F" w:rsidP="004668BB">
      <w:pPr>
        <w:pStyle w:val="a9"/>
        <w:spacing w:line="240" w:lineRule="auto"/>
        <w:ind w:firstLine="709"/>
        <w:contextualSpacing/>
        <w:jc w:val="both"/>
        <w:rPr>
          <w:sz w:val="28"/>
          <w:szCs w:val="28"/>
        </w:rPr>
      </w:pPr>
      <w:r w:rsidRPr="0003056F">
        <w:rPr>
          <w:sz w:val="28"/>
          <w:szCs w:val="28"/>
        </w:rPr>
        <w:t>Статья 2</w:t>
      </w:r>
    </w:p>
    <w:p w:rsidR="0003056F" w:rsidRPr="0003056F" w:rsidRDefault="0003056F" w:rsidP="004668BB">
      <w:pPr>
        <w:spacing w:line="240" w:lineRule="auto"/>
        <w:ind w:firstLine="720"/>
        <w:jc w:val="both"/>
        <w:rPr>
          <w:rFonts w:ascii="Times New Roman" w:hAnsi="Times New Roman"/>
          <w:sz w:val="28"/>
          <w:szCs w:val="28"/>
          <w:lang w:eastAsia="ru-RU"/>
        </w:rPr>
      </w:pPr>
    </w:p>
    <w:p w:rsidR="00FB7177" w:rsidRPr="0003056F" w:rsidRDefault="00FB7177" w:rsidP="004668BB">
      <w:pPr>
        <w:spacing w:line="240" w:lineRule="auto"/>
        <w:ind w:firstLine="720"/>
        <w:jc w:val="both"/>
        <w:rPr>
          <w:rFonts w:ascii="Times New Roman" w:hAnsi="Times New Roman"/>
          <w:sz w:val="28"/>
          <w:szCs w:val="28"/>
          <w:lang w:eastAsia="ru-RU"/>
        </w:rPr>
      </w:pPr>
      <w:r w:rsidRPr="0003056F">
        <w:rPr>
          <w:rFonts w:ascii="Times New Roman" w:hAnsi="Times New Roman"/>
          <w:sz w:val="28"/>
          <w:szCs w:val="28"/>
          <w:lang w:eastAsia="ru-RU"/>
        </w:rPr>
        <w:t xml:space="preserve">1) </w:t>
      </w:r>
      <w:r w:rsidRPr="0003056F">
        <w:rPr>
          <w:rFonts w:ascii="Times New Roman" w:hAnsi="Times New Roman"/>
          <w:sz w:val="28"/>
          <w:szCs w:val="28"/>
          <w:lang w:eastAsia="ru-RU"/>
        </w:rPr>
        <w:t xml:space="preserve">в статье 145: </w:t>
      </w:r>
    </w:p>
    <w:p w:rsidR="00FB7177" w:rsidRPr="0003056F" w:rsidRDefault="00FB7177" w:rsidP="004668BB">
      <w:pPr>
        <w:spacing w:line="240" w:lineRule="auto"/>
        <w:ind w:firstLine="720"/>
        <w:jc w:val="both"/>
        <w:rPr>
          <w:rFonts w:ascii="Times New Roman" w:hAnsi="Times New Roman"/>
          <w:sz w:val="28"/>
          <w:szCs w:val="28"/>
          <w:lang w:eastAsia="ru-RU"/>
        </w:rPr>
      </w:pPr>
      <w:r w:rsidRPr="0003056F">
        <w:rPr>
          <w:rFonts w:ascii="Times New Roman" w:hAnsi="Times New Roman"/>
          <w:sz w:val="28"/>
          <w:szCs w:val="28"/>
          <w:lang w:eastAsia="ru-RU"/>
        </w:rPr>
        <w:t xml:space="preserve">а) в абзацах четвертом и пятом пункта 1 слова "60 миллионов рублей" заменить словами "10 миллионов рублей"; </w:t>
      </w:r>
    </w:p>
    <w:p w:rsidR="00FB7177" w:rsidRPr="0003056F" w:rsidRDefault="00FB7177" w:rsidP="004668BB">
      <w:pPr>
        <w:spacing w:line="240" w:lineRule="auto"/>
        <w:ind w:firstLine="720"/>
        <w:jc w:val="both"/>
        <w:rPr>
          <w:rFonts w:ascii="Times New Roman" w:hAnsi="Times New Roman"/>
          <w:sz w:val="28"/>
          <w:szCs w:val="28"/>
          <w:lang w:eastAsia="ru-RU"/>
        </w:rPr>
      </w:pPr>
      <w:r w:rsidRPr="0003056F">
        <w:rPr>
          <w:rFonts w:ascii="Times New Roman" w:hAnsi="Times New Roman"/>
          <w:sz w:val="28"/>
          <w:szCs w:val="28"/>
          <w:lang w:eastAsia="ru-RU"/>
        </w:rPr>
        <w:t>б) в абзаце третьем пункта 5 слова "60 миллионов рублей" заменить словами "10 миллионов рублей";</w:t>
      </w:r>
    </w:p>
    <w:p w:rsidR="00FB7177" w:rsidRPr="007A0553" w:rsidRDefault="00FB7177" w:rsidP="004668BB">
      <w:pPr>
        <w:spacing w:line="240" w:lineRule="auto"/>
        <w:ind w:firstLine="720"/>
        <w:jc w:val="both"/>
        <w:rPr>
          <w:rFonts w:ascii="Times New Roman" w:hAnsi="Times New Roman"/>
          <w:sz w:val="24"/>
          <w:szCs w:val="24"/>
          <w:lang w:eastAsia="ru-RU"/>
        </w:rPr>
      </w:pP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b/>
          <w:sz w:val="36"/>
        </w:rPr>
        <w:t>8. Татьяна Владимировна О.</w:t>
      </w:r>
    </w:p>
    <w:p w:rsidR="006531B6" w:rsidRPr="007A3B62" w:rsidRDefault="006531B6" w:rsidP="004668BB">
      <w:pPr>
        <w:pBdr>
          <w:top w:val="none" w:sz="4" w:space="0" w:color="000000"/>
          <w:left w:val="none" w:sz="4" w:space="0" w:color="000000"/>
          <w:bottom w:val="none" w:sz="4" w:space="0" w:color="000000"/>
          <w:right w:val="none" w:sz="4" w:space="0" w:color="000000"/>
        </w:pBdr>
        <w:spacing w:line="240" w:lineRule="auto"/>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7F4DDE"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 xml:space="preserve">Организация Фонд помощи бездомным домашним животным "ХХ" является некоммерческой организацией, деятельностью  которой не является извлечение прибыли и которая не распределяет прибыль между участниками, находится на УСН (15%). До 2025 года сумма контрактов за год составляла около 7 млн. руб., а в 2025 г. может превысить 10 млн. руб., т.к. всё больше районов области присоединяются к государственной программе по отлову и стерилизации бездомных животных. Услуга по отлову и содержанию животных без владельцев является государственной (муниципальной) функцией, а не услугой, оказываемой в рамках предпринимательской деятельности, которые финансируются из бюджета. Налогообложению НДС подлежит реализация товаров, работ и услуг. </w:t>
      </w:r>
    </w:p>
    <w:p w:rsidR="007F4DDE"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Отлов животных – это не коммерческая деятельность, а исполнение государственных полномочий по обеспечению безопасности и защиты населения, а стерилизация,  маркирование специальной клипсой или несмываемой меткой относится к ветеринарной услуге, которая с 2025 г. не облагается НДС. </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Вопрос – подпадает ли этот вид деятельности в связи с ожидаемой реформой под НДС?</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В настоящее время отлов собак без владельцев на территории YY районов осуществляет «ХХ» в соответствии с муниципальными контрактами, заключёнными с администрациями этих районов. </w:t>
      </w:r>
    </w:p>
    <w:p w:rsidR="006531B6"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 xml:space="preserve"> В соответствии с требованиями Порядка – отловленные животные доставляются в приют, принадлежащий «ХХ», в которых животные после осмотра ветеринарным специалистом проходят карантин в течение 10 дней. Во время карантина осуществляются осмотр, обработка от </w:t>
      </w:r>
      <w:r>
        <w:rPr>
          <w:rFonts w:ascii="Times New Roman" w:hAnsi="Times New Roman" w:cs="Times New Roman"/>
          <w:sz w:val="36"/>
        </w:rPr>
        <w:lastRenderedPageBreak/>
        <w:t>паразитов. Собаки, у которых в течение карантина не было выявлено опасных для человека и (или) животных заболеваний, стерилизуются (кастрируются), вакцинируются от бешенства, подлежат маркированию специальной клипсой или несмываемой меткой. Также при необходимости предусмотрено лечение животных. После проведения всех необходимых процедур, собаки, не проявляющие немотивированной агрессии, подлежат выпуску в естественную среду обитания, либо передаются новым владельцам, либо остаются в приюте. В результате работы Фонда по осуществлению государственной программы, существенно сокращается численность бездомных животных, что и является целью исполнения муниципальных контрактов.</w:t>
      </w:r>
    </w:p>
    <w:p w:rsidR="001D3020" w:rsidRDefault="001D3020" w:rsidP="004668BB">
      <w:pPr>
        <w:spacing w:line="240" w:lineRule="auto"/>
        <w:ind w:firstLine="708"/>
        <w:jc w:val="both"/>
        <w:rPr>
          <w:rFonts w:ascii="Times New Roman" w:hAnsi="Times New Roman" w:cs="Times New Roman"/>
          <w:sz w:val="36"/>
        </w:rPr>
      </w:pPr>
    </w:p>
    <w:p w:rsidR="001D3020" w:rsidRPr="0003056F" w:rsidRDefault="001D3020" w:rsidP="001D3020">
      <w:pPr>
        <w:spacing w:line="240" w:lineRule="auto"/>
        <w:ind w:firstLine="708"/>
        <w:jc w:val="center"/>
        <w:rPr>
          <w:rFonts w:ascii="Times New Roman" w:hAnsi="Times New Roman" w:cs="Times New Roman"/>
          <w:b/>
          <w:bCs/>
          <w:sz w:val="36"/>
        </w:rPr>
      </w:pPr>
      <w:r w:rsidRPr="0003056F">
        <w:rPr>
          <w:rFonts w:ascii="Times New Roman" w:hAnsi="Times New Roman" w:cs="Times New Roman"/>
          <w:b/>
          <w:bCs/>
          <w:sz w:val="36"/>
        </w:rPr>
        <w:t>"Налоговый кодекс Российской Федерации (часть вторая)" от 05.08.2000 № 117-ФЗ</w:t>
      </w:r>
    </w:p>
    <w:p w:rsidR="001D3020" w:rsidRDefault="001D3020" w:rsidP="001D3020">
      <w:pPr>
        <w:spacing w:line="240" w:lineRule="auto"/>
        <w:ind w:firstLine="708"/>
        <w:jc w:val="both"/>
        <w:rPr>
          <w:rFonts w:ascii="Times New Roman" w:hAnsi="Times New Roman" w:cs="Times New Roman"/>
          <w:sz w:val="36"/>
        </w:rPr>
      </w:pPr>
    </w:p>
    <w:p w:rsidR="001D3020" w:rsidRPr="0003056F" w:rsidRDefault="001D3020" w:rsidP="001D3020">
      <w:pPr>
        <w:spacing w:line="240" w:lineRule="auto"/>
        <w:ind w:firstLine="708"/>
        <w:jc w:val="both"/>
        <w:rPr>
          <w:rFonts w:ascii="Times New Roman" w:hAnsi="Times New Roman" w:cs="Times New Roman"/>
          <w:sz w:val="36"/>
        </w:rPr>
      </w:pPr>
      <w:r w:rsidRPr="0003056F">
        <w:rPr>
          <w:rFonts w:ascii="Times New Roman" w:hAnsi="Times New Roman" w:cs="Times New Roman"/>
          <w:sz w:val="36"/>
        </w:rPr>
        <w:t>Статья 149. Операции, не подлежащие налогообложению (освобождаемые от налогообложения)</w:t>
      </w:r>
    </w:p>
    <w:p w:rsidR="001D3020" w:rsidRDefault="001D3020" w:rsidP="001D3020">
      <w:pPr>
        <w:spacing w:line="240" w:lineRule="auto"/>
        <w:ind w:firstLine="708"/>
        <w:jc w:val="both"/>
        <w:rPr>
          <w:rFonts w:ascii="Times New Roman" w:hAnsi="Times New Roman" w:cs="Times New Roman"/>
          <w:sz w:val="36"/>
        </w:rPr>
      </w:pPr>
      <w:r w:rsidRPr="0003056F">
        <w:rPr>
          <w:rFonts w:ascii="Times New Roman" w:hAnsi="Times New Roman" w:cs="Times New Roman"/>
          <w:sz w:val="36"/>
        </w:rPr>
        <w:t>2.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w:t>
      </w:r>
    </w:p>
    <w:p w:rsidR="001D3020" w:rsidRPr="007A3B62" w:rsidRDefault="001D3020" w:rsidP="004668BB">
      <w:pPr>
        <w:spacing w:line="240" w:lineRule="auto"/>
        <w:ind w:firstLine="708"/>
        <w:jc w:val="both"/>
        <w:rPr>
          <w:rFonts w:ascii="Calibri" w:eastAsia="Calibri" w:hAnsi="Calibri" w:cs="Calibri"/>
        </w:rPr>
      </w:pPr>
      <w:r w:rsidRPr="001D3020">
        <w:rPr>
          <w:rFonts w:ascii="Times New Roman" w:hAnsi="Times New Roman" w:cs="Times New Roman"/>
          <w:sz w:val="36"/>
        </w:rPr>
        <w:t>2.1) ветеринарных услуг</w:t>
      </w:r>
      <w:r>
        <w:rPr>
          <w:rFonts w:ascii="Times New Roman" w:hAnsi="Times New Roman" w:cs="Times New Roman"/>
          <w:sz w:val="36"/>
        </w:rPr>
        <w:t>.</w:t>
      </w:r>
    </w:p>
    <w:p w:rsidR="006531B6" w:rsidRPr="007A3B62" w:rsidRDefault="006531B6" w:rsidP="004668BB">
      <w:pPr>
        <w:spacing w:line="240" w:lineRule="auto"/>
        <w:ind w:firstLine="708"/>
        <w:jc w:val="both"/>
        <w:rPr>
          <w:rFonts w:ascii="Times New Roman" w:hAnsi="Times New Roman" w:cs="Times New Roman"/>
          <w:b/>
          <w:sz w:val="36"/>
        </w:rPr>
      </w:pP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b/>
          <w:sz w:val="36"/>
        </w:rPr>
        <w:t>11. Марианна Сергеевна К. </w:t>
      </w:r>
    </w:p>
    <w:p w:rsidR="006531B6" w:rsidRPr="007A3B62" w:rsidRDefault="006531B6" w:rsidP="004668BB">
      <w:pPr>
        <w:pBdr>
          <w:top w:val="none" w:sz="4" w:space="0" w:color="000000"/>
          <w:left w:val="none" w:sz="4" w:space="0" w:color="000000"/>
          <w:bottom w:val="none" w:sz="4" w:space="0" w:color="000000"/>
          <w:right w:val="none" w:sz="4" w:space="0" w:color="000000"/>
        </w:pBdr>
        <w:spacing w:line="240" w:lineRule="auto"/>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НКО существует с 1996 г.</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Учёт ведётся как в коммерческой организации. Применяется УСН (доходы минус расходы)</w:t>
      </w:r>
      <w:r w:rsidR="00422C3C">
        <w:rPr>
          <w:rFonts w:ascii="Times New Roman" w:hAnsi="Times New Roman" w:cs="Times New Roman"/>
          <w:sz w:val="36"/>
        </w:rPr>
        <w:t>.</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Основной ОКВЭД 94.12</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Основные виды деятельности: проведение специализированных научно-практических форумов и выставок, издание специализированного журнала.</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lastRenderedPageBreak/>
        <w:t>Основные источники  доходов: взносы за  участие в конференциях и выставках, размещение печатных материалов в журнале, членские взносы.</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В связи с планируемыми изменениями в НК РФ возник вопрос об оптимизации налогов и переходе на учёт как в НКО (возможно в сочетании коммерческой и некоммерческой деятельности)</w:t>
      </w:r>
      <w:r w:rsidR="00422C3C">
        <w:rPr>
          <w:rFonts w:ascii="Times New Roman" w:hAnsi="Times New Roman" w:cs="Times New Roman"/>
          <w:sz w:val="36"/>
        </w:rPr>
        <w:t>.</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Вопросы:</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1. Что необходимо сделать  для перехода  на учёт в качестве НКО, надо ли уведомлять ИФНС?</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2. Как быть с НДС в следующем году  (в этом году доход возможно превысит 10 млн. руб.), на все ли виды поступлений будет распространяться?</w:t>
      </w:r>
    </w:p>
    <w:p w:rsidR="006531B6" w:rsidRPr="007A3B62"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3. Закрытие  актов оказанных услуг в 2026 г. возможно только УПД или можно применять уже существующую в организации форму акта?</w:t>
      </w:r>
    </w:p>
    <w:p w:rsidR="006531B6" w:rsidRPr="007A3B62" w:rsidRDefault="006531B6" w:rsidP="004668BB">
      <w:pPr>
        <w:spacing w:line="240" w:lineRule="auto"/>
        <w:ind w:firstLine="708"/>
        <w:jc w:val="both"/>
        <w:rPr>
          <w:rFonts w:ascii="Times New Roman" w:hAnsi="Times New Roman" w:cs="Times New Roman"/>
          <w:sz w:val="36"/>
        </w:rPr>
      </w:pP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b/>
          <w:sz w:val="36"/>
        </w:rPr>
        <w:t>14. Наталья Евгеньевна И.</w:t>
      </w:r>
    </w:p>
    <w:p w:rsidR="006531B6" w:rsidRPr="007A3B62" w:rsidRDefault="006531B6" w:rsidP="004668BB">
      <w:pPr>
        <w:pBdr>
          <w:top w:val="none" w:sz="4" w:space="0" w:color="000000"/>
          <w:left w:val="none" w:sz="4" w:space="0" w:color="000000"/>
          <w:bottom w:val="none" w:sz="4" w:space="0" w:color="000000"/>
          <w:right w:val="none" w:sz="4" w:space="0" w:color="000000"/>
        </w:pBdr>
        <w:spacing w:line="240" w:lineRule="auto"/>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Фонд получает целевое финансирование и осуществляет приносящую  доход деятельность, которая в 2025 г. превысила порог 10 млн. рублей и соответственно Фонд становится  плательщиком НДС на УСН (доходы) в 2026 году.             </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Периодически Фондом приобретаются подарки для партнеров в виде ТМЦ до 3 тыс. рублей (в этом случае  письменный договор не заключается, НДФЛ не удерживается). Согласно подп. 1 п. 1 ст. 146 НК РФ передача права собственности на товары на безвозмездной основе признаётся реализацией товаров и является объектом обложения НДС.         </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Нужно ли Фонду будет проводить реализацию для операций дарения ТМЦ и соответственно отражать НДС в книге продаж?</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lastRenderedPageBreak/>
        <w:t>Как оформить данный вид реализации, если дарение осуществляется физическому лицу? </w:t>
      </w:r>
    </w:p>
    <w:p w:rsidR="006531B6"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Необходимо в этом случае брать согласие на обработку персональных данных от него?</w:t>
      </w:r>
    </w:p>
    <w:p w:rsidR="00344C55" w:rsidRDefault="00344C55" w:rsidP="004668BB">
      <w:pPr>
        <w:spacing w:line="240" w:lineRule="auto"/>
        <w:ind w:firstLine="708"/>
        <w:jc w:val="both"/>
        <w:rPr>
          <w:rFonts w:ascii="Times New Roman" w:hAnsi="Times New Roman" w:cs="Times New Roman"/>
          <w:sz w:val="36"/>
        </w:rPr>
      </w:pPr>
    </w:p>
    <w:p w:rsidR="00344C55" w:rsidRPr="0003056F" w:rsidRDefault="00344C55" w:rsidP="00344C55">
      <w:pPr>
        <w:spacing w:line="240" w:lineRule="auto"/>
        <w:ind w:firstLine="708"/>
        <w:jc w:val="center"/>
        <w:rPr>
          <w:rFonts w:ascii="Times New Roman" w:hAnsi="Times New Roman" w:cs="Times New Roman"/>
          <w:b/>
          <w:bCs/>
          <w:sz w:val="28"/>
          <w:szCs w:val="28"/>
        </w:rPr>
      </w:pPr>
      <w:r w:rsidRPr="0003056F">
        <w:rPr>
          <w:rFonts w:ascii="Times New Roman" w:hAnsi="Times New Roman" w:cs="Times New Roman"/>
          <w:b/>
          <w:bCs/>
          <w:sz w:val="28"/>
          <w:szCs w:val="28"/>
        </w:rPr>
        <w:t xml:space="preserve">"Налоговый кодекс Российской Федерации (часть вторая)" от 05.08.2000 </w:t>
      </w:r>
      <w:r w:rsidRPr="00344C55">
        <w:rPr>
          <w:rFonts w:ascii="Times New Roman" w:hAnsi="Times New Roman" w:cs="Times New Roman"/>
          <w:b/>
          <w:bCs/>
          <w:sz w:val="28"/>
          <w:szCs w:val="28"/>
        </w:rPr>
        <w:t>№</w:t>
      </w:r>
      <w:r w:rsidRPr="0003056F">
        <w:rPr>
          <w:rFonts w:ascii="Times New Roman" w:hAnsi="Times New Roman" w:cs="Times New Roman"/>
          <w:b/>
          <w:bCs/>
          <w:sz w:val="28"/>
          <w:szCs w:val="28"/>
        </w:rPr>
        <w:t xml:space="preserve"> 117-ФЗ</w:t>
      </w:r>
    </w:p>
    <w:p w:rsidR="00344C55" w:rsidRDefault="00344C55" w:rsidP="004668BB">
      <w:pPr>
        <w:spacing w:line="240" w:lineRule="auto"/>
        <w:ind w:firstLine="708"/>
        <w:jc w:val="both"/>
        <w:rPr>
          <w:rFonts w:ascii="Calibri" w:eastAsia="Calibri" w:hAnsi="Calibri" w:cs="Calibri"/>
        </w:rPr>
      </w:pP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Статья 146. Объект налогообложения</w:t>
      </w: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1. Объектом налогообложения признаются следующие операции:</w:t>
      </w: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 xml:space="preserve">В целях настоящей главы передача права собственности на товары, результатов выполненных работ, оказание услуг </w:t>
      </w:r>
      <w:r w:rsidRPr="00344C55">
        <w:rPr>
          <w:rFonts w:ascii="Times New Roman" w:hAnsi="Times New Roman" w:cs="Times New Roman"/>
          <w:b/>
          <w:bCs/>
          <w:sz w:val="28"/>
          <w:szCs w:val="28"/>
        </w:rPr>
        <w:t>на безвозмездной основе</w:t>
      </w:r>
      <w:r w:rsidRPr="00344C55">
        <w:rPr>
          <w:rFonts w:ascii="Times New Roman" w:hAnsi="Times New Roman" w:cs="Times New Roman"/>
          <w:sz w:val="28"/>
          <w:szCs w:val="28"/>
        </w:rPr>
        <w:t xml:space="preserve"> признается реализацией товаров (работ, услуг);</w:t>
      </w: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2. В целях настоящей главы не признаются объектом налогообложения:</w:t>
      </w: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1) операции, указанные в пункте 3 статьи 39 настоящего Кодекса;</w:t>
      </w:r>
    </w:p>
    <w:p w:rsidR="006531B6" w:rsidRPr="007A3B62" w:rsidRDefault="006531B6" w:rsidP="004668BB">
      <w:pPr>
        <w:spacing w:line="240" w:lineRule="auto"/>
        <w:ind w:firstLine="708"/>
        <w:jc w:val="both"/>
        <w:rPr>
          <w:rFonts w:ascii="Times New Roman" w:hAnsi="Times New Roman" w:cs="Times New Roman"/>
          <w:b/>
          <w:sz w:val="36"/>
        </w:rPr>
      </w:pP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b/>
          <w:sz w:val="36"/>
        </w:rPr>
        <w:t>15. Юлия Сергеевна А.</w:t>
      </w:r>
    </w:p>
    <w:p w:rsidR="006531B6" w:rsidRPr="007A3B62" w:rsidRDefault="006531B6" w:rsidP="004668BB">
      <w:pPr>
        <w:pBdr>
          <w:top w:val="none" w:sz="4" w:space="0" w:color="000000"/>
          <w:left w:val="none" w:sz="4" w:space="0" w:color="000000"/>
          <w:bottom w:val="none" w:sz="4" w:space="0" w:color="000000"/>
          <w:right w:val="none" w:sz="4" w:space="0" w:color="000000"/>
        </w:pBdr>
        <w:spacing w:line="240" w:lineRule="auto"/>
        <w:ind w:left="283" w:firstLine="425"/>
        <w:jc w:val="both"/>
        <w:rPr>
          <w:rFonts w:ascii="Liberation Sans" w:eastAsia="Liberation Sans" w:hAnsi="Liberation Sans" w:cs="Liberation Sans"/>
          <w:sz w:val="20"/>
          <w:szCs w:val="20"/>
        </w:rPr>
      </w:pPr>
      <w:r>
        <w:rPr>
          <w:rFonts w:ascii="Times New Roman" w:eastAsia="Liberation Sans" w:hAnsi="Times New Roman" w:cs="Liberation Sans"/>
          <w:b/>
          <w:color w:val="00FF00"/>
          <w:sz w:val="36"/>
          <w:szCs w:val="20"/>
        </w:rPr>
        <w:t>ГАМОЛЬСКИЙ</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Можно ли принимать в расходы в авансовом отчёте подотчетного лица расходы на питание, фуршет (приложены чеки ужинов в ресторане). Работник (директор) отправлялся в командировку вместе с добровольцами, и там же питался с ними. Знаю, что вообще работнику начисляются суточные и по общим правилам никакие чеки на продукты, питание в ресторанах не принимаются. Но здесь по виду деятельности (организация добровольческих путешествий как НКО) работник покупает билеты добровольцам и, возможно, и питание тогда он оплачивать может?</w:t>
      </w:r>
    </w:p>
    <w:p w:rsidR="006531B6" w:rsidRPr="007A3B62" w:rsidRDefault="006531B6" w:rsidP="004668BB">
      <w:pPr>
        <w:spacing w:line="240" w:lineRule="auto"/>
        <w:ind w:firstLine="708"/>
        <w:jc w:val="both"/>
        <w:rPr>
          <w:rFonts w:ascii="Calibri" w:eastAsia="Calibri" w:hAnsi="Calibri" w:cs="Calibri"/>
        </w:rPr>
      </w:pPr>
      <w:r>
        <w:rPr>
          <w:rFonts w:ascii="Times New Roman" w:hAnsi="Times New Roman" w:cs="Times New Roman"/>
          <w:sz w:val="36"/>
        </w:rPr>
        <w:t>Как разобраться в ситуации?</w:t>
      </w:r>
    </w:p>
    <w:p w:rsidR="006531B6" w:rsidRDefault="006531B6" w:rsidP="004668BB">
      <w:pPr>
        <w:spacing w:line="240" w:lineRule="auto"/>
        <w:ind w:firstLine="708"/>
        <w:jc w:val="both"/>
        <w:rPr>
          <w:rFonts w:ascii="Times New Roman" w:hAnsi="Times New Roman" w:cs="Times New Roman"/>
          <w:sz w:val="36"/>
        </w:rPr>
      </w:pPr>
      <w:r>
        <w:rPr>
          <w:rFonts w:ascii="Times New Roman" w:hAnsi="Times New Roman" w:cs="Times New Roman"/>
          <w:sz w:val="36"/>
        </w:rPr>
        <w:t>Может, в каких-то регламентных документах НКО это должно быть закреплено и тогда можно принять к учету? Не знаю, как быть….</w:t>
      </w:r>
    </w:p>
    <w:p w:rsidR="00344C55" w:rsidRDefault="00344C55" w:rsidP="004668BB">
      <w:pPr>
        <w:spacing w:line="240" w:lineRule="auto"/>
        <w:ind w:firstLine="708"/>
        <w:jc w:val="both"/>
        <w:rPr>
          <w:rFonts w:ascii="Times New Roman" w:hAnsi="Times New Roman" w:cs="Times New Roman"/>
          <w:sz w:val="36"/>
        </w:rPr>
      </w:pPr>
    </w:p>
    <w:p w:rsidR="00344C55" w:rsidRPr="0003056F" w:rsidRDefault="00344C55" w:rsidP="00344C55">
      <w:pPr>
        <w:spacing w:line="240" w:lineRule="auto"/>
        <w:ind w:firstLine="708"/>
        <w:jc w:val="center"/>
        <w:rPr>
          <w:rFonts w:ascii="Times New Roman" w:hAnsi="Times New Roman" w:cs="Times New Roman"/>
          <w:b/>
          <w:bCs/>
          <w:sz w:val="28"/>
          <w:szCs w:val="28"/>
        </w:rPr>
      </w:pPr>
      <w:r w:rsidRPr="0003056F">
        <w:rPr>
          <w:rFonts w:ascii="Times New Roman" w:hAnsi="Times New Roman" w:cs="Times New Roman"/>
          <w:b/>
          <w:bCs/>
          <w:sz w:val="28"/>
          <w:szCs w:val="28"/>
        </w:rPr>
        <w:lastRenderedPageBreak/>
        <w:t xml:space="preserve">"Налоговый кодекс Российской Федерации (часть вторая)" от 05.08.2000 </w:t>
      </w:r>
      <w:r w:rsidRPr="00344C55">
        <w:rPr>
          <w:rFonts w:ascii="Times New Roman" w:hAnsi="Times New Roman" w:cs="Times New Roman"/>
          <w:b/>
          <w:bCs/>
          <w:sz w:val="28"/>
          <w:szCs w:val="28"/>
        </w:rPr>
        <w:t>№</w:t>
      </w:r>
      <w:r w:rsidRPr="0003056F">
        <w:rPr>
          <w:rFonts w:ascii="Times New Roman" w:hAnsi="Times New Roman" w:cs="Times New Roman"/>
          <w:b/>
          <w:bCs/>
          <w:sz w:val="28"/>
          <w:szCs w:val="28"/>
        </w:rPr>
        <w:t xml:space="preserve"> 117-ФЗ</w:t>
      </w:r>
    </w:p>
    <w:p w:rsidR="00344C55" w:rsidRDefault="00344C55" w:rsidP="00344C55">
      <w:pPr>
        <w:spacing w:line="240" w:lineRule="auto"/>
        <w:ind w:firstLine="708"/>
        <w:jc w:val="both"/>
        <w:rPr>
          <w:rFonts w:ascii="Calibri" w:eastAsia="Calibri" w:hAnsi="Calibri" w:cs="Calibri"/>
        </w:rPr>
      </w:pPr>
    </w:p>
    <w:p w:rsidR="00344C55" w:rsidRPr="00344C55" w:rsidRDefault="00344C55" w:rsidP="00344C55">
      <w:pPr>
        <w:spacing w:line="240" w:lineRule="auto"/>
        <w:ind w:firstLine="708"/>
        <w:jc w:val="both"/>
        <w:rPr>
          <w:rFonts w:ascii="Times New Roman" w:hAnsi="Times New Roman" w:cs="Times New Roman"/>
          <w:sz w:val="28"/>
          <w:szCs w:val="28"/>
        </w:rPr>
      </w:pPr>
      <w:r w:rsidRPr="00344C55">
        <w:rPr>
          <w:rFonts w:ascii="Times New Roman" w:hAnsi="Times New Roman" w:cs="Times New Roman"/>
          <w:sz w:val="28"/>
          <w:szCs w:val="28"/>
        </w:rPr>
        <w:t>Статья 217. Доходы, не подлежащие налогообложению (освобождаемые от налогообложения)</w:t>
      </w:r>
    </w:p>
    <w:p w:rsidR="00596546" w:rsidRPr="00596546" w:rsidRDefault="00596546" w:rsidP="00596546">
      <w:pPr>
        <w:spacing w:line="240" w:lineRule="auto"/>
        <w:ind w:firstLine="708"/>
        <w:jc w:val="both"/>
        <w:rPr>
          <w:rFonts w:ascii="Times New Roman" w:hAnsi="Times New Roman" w:cs="Times New Roman"/>
          <w:sz w:val="28"/>
          <w:szCs w:val="28"/>
        </w:rPr>
      </w:pPr>
      <w:r w:rsidRPr="00596546">
        <w:rPr>
          <w:rFonts w:ascii="Times New Roman" w:hAnsi="Times New Roman" w:cs="Times New Roman"/>
          <w:sz w:val="28"/>
          <w:szCs w:val="28"/>
        </w:rPr>
        <w:t>Не подлежат налогообложению (освобождаются от налогообложения) следующие виды доходов физических лиц:</w:t>
      </w:r>
    </w:p>
    <w:p w:rsidR="00596546" w:rsidRPr="00596546" w:rsidRDefault="00596546" w:rsidP="00596546">
      <w:pPr>
        <w:spacing w:line="240" w:lineRule="auto"/>
        <w:ind w:firstLine="708"/>
        <w:jc w:val="both"/>
        <w:rPr>
          <w:rFonts w:ascii="Times New Roman" w:hAnsi="Times New Roman" w:cs="Times New Roman"/>
          <w:sz w:val="28"/>
          <w:szCs w:val="28"/>
        </w:rPr>
      </w:pPr>
      <w:r w:rsidRPr="00596546">
        <w:rPr>
          <w:rFonts w:ascii="Times New Roman" w:hAnsi="Times New Roman" w:cs="Times New Roman"/>
          <w:sz w:val="28"/>
          <w:szCs w:val="28"/>
        </w:rPr>
        <w:t>3.1) доходы, полученные добровольцами (волонтерами) в рамках гражданско-правовых договоров, предметом которых является безвозмездное выполнение работ, оказание услуг в соответствии с Федеральным законом от 11 августа 1995 года N 135-ФЗ "О благотворительной деятельности и добровольчестве (волонтерстве)" и иными федеральными законами, которыми установлены особенности привлечения добровольцев (волонтеров):</w:t>
      </w:r>
    </w:p>
    <w:p w:rsidR="00596546" w:rsidRPr="00596546" w:rsidRDefault="00596546" w:rsidP="00596546">
      <w:pPr>
        <w:spacing w:line="240" w:lineRule="auto"/>
        <w:ind w:firstLine="708"/>
        <w:jc w:val="both"/>
        <w:rPr>
          <w:rFonts w:ascii="Times New Roman" w:hAnsi="Times New Roman" w:cs="Times New Roman"/>
          <w:sz w:val="28"/>
          <w:szCs w:val="28"/>
        </w:rPr>
      </w:pPr>
      <w:r w:rsidRPr="00596546">
        <w:rPr>
          <w:rFonts w:ascii="Times New Roman" w:hAnsi="Times New Roman" w:cs="Times New Roman"/>
          <w:sz w:val="28"/>
          <w:szCs w:val="28"/>
        </w:rPr>
        <w:t>в виде выплат на возмещение расходов добровольцев (волонтеров) на приобретение форменной и специальной одежды, оборудования, средств индивидуальной защиты, на предоставление помещения во временное пользование, на проезд к месту осуществления благотворительной, добровольческой (волонтерской) деятельности и обратно, на питание (за исключением расходов на питание в сумме, превышающей размеры суточных, предусмотренные пунктом 1 настоящей статьи), на оплату услуг связи,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на уплату страховых взносов на добровольное медицинское страхование добровольцев (волонтеров) либо на страхование их жизни или здоровья, связанные с рисками для жизни или здоровья добровольцев (волонтеров) при осуществлении ими благотворительной, добровольческой (волонтерской) деятельности;</w:t>
      </w:r>
    </w:p>
    <w:p w:rsidR="00344C55" w:rsidRDefault="00596546" w:rsidP="00596546">
      <w:pPr>
        <w:spacing w:line="240" w:lineRule="auto"/>
        <w:ind w:firstLine="708"/>
        <w:jc w:val="both"/>
        <w:rPr>
          <w:rFonts w:ascii="Times New Roman" w:hAnsi="Times New Roman" w:cs="Times New Roman"/>
          <w:sz w:val="28"/>
          <w:szCs w:val="28"/>
        </w:rPr>
      </w:pPr>
      <w:r w:rsidRPr="00596546">
        <w:rPr>
          <w:rFonts w:ascii="Times New Roman" w:hAnsi="Times New Roman" w:cs="Times New Roman"/>
          <w:sz w:val="28"/>
          <w:szCs w:val="28"/>
        </w:rPr>
        <w:t>в натуральной форме, полученные по указанным гражданско-правовым договорам на цели, предусмотренные абзацем вторым настоящего пункта</w:t>
      </w:r>
      <w:r>
        <w:rPr>
          <w:rFonts w:ascii="Times New Roman" w:hAnsi="Times New Roman" w:cs="Times New Roman"/>
          <w:sz w:val="28"/>
          <w:szCs w:val="28"/>
        </w:rPr>
        <w:t>.</w:t>
      </w:r>
    </w:p>
    <w:p w:rsidR="00D95B78" w:rsidRDefault="00D95B78" w:rsidP="00596546">
      <w:pPr>
        <w:spacing w:line="240" w:lineRule="auto"/>
        <w:ind w:firstLine="708"/>
        <w:jc w:val="both"/>
        <w:rPr>
          <w:rFonts w:ascii="Times New Roman" w:hAnsi="Times New Roman" w:cs="Times New Roman"/>
          <w:sz w:val="28"/>
          <w:szCs w:val="28"/>
        </w:rPr>
      </w:pP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"Трудовой кодекс Российской Федерации" от 30.12.2001 N 197-ФЗ</w:t>
      </w:r>
    </w:p>
    <w:p w:rsidR="00D95B78" w:rsidRPr="00D95B78" w:rsidRDefault="00D95B78" w:rsidP="00D95B78">
      <w:pPr>
        <w:spacing w:line="240" w:lineRule="auto"/>
        <w:ind w:firstLine="708"/>
        <w:jc w:val="both"/>
        <w:rPr>
          <w:rFonts w:ascii="Times New Roman" w:hAnsi="Times New Roman" w:cs="Times New Roman"/>
          <w:sz w:val="28"/>
          <w:szCs w:val="28"/>
        </w:rPr>
      </w:pP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Глава 24. ГАРАНТИИ ПРИ НАПРАВЛЕНИИ РАБОТНИКОВ В СЛУЖЕБНЫЕ КОМАНДИРОВКИ, ДРУГИЕ СЛУЖЕБНЫЕ ПОЕЗДКИ И ПЕРЕЕЗДЕ НА РАБОТУ В ДРУГУЮ МЕСТНОСТЬ</w:t>
      </w:r>
    </w:p>
    <w:p w:rsidR="00D95B78" w:rsidRPr="00D95B78" w:rsidRDefault="00D95B78" w:rsidP="00D95B78">
      <w:pPr>
        <w:spacing w:line="240" w:lineRule="auto"/>
        <w:ind w:firstLine="708"/>
        <w:jc w:val="both"/>
        <w:rPr>
          <w:rFonts w:ascii="Times New Roman" w:hAnsi="Times New Roman" w:cs="Times New Roman"/>
          <w:sz w:val="28"/>
          <w:szCs w:val="28"/>
        </w:rPr>
      </w:pP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Статья 168. Возмещение расходов, связанных со служебной командировкой</w:t>
      </w: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lastRenderedPageBreak/>
        <w:t>В случае направления в служебную командировку работодатель обязан возмещать работнику:</w:t>
      </w: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расходы по проезду;</w:t>
      </w: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расходы по найму жилого помещения;</w:t>
      </w: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дополнительные расходы, связанные с проживанием вне места постоянного жительства (суточные);</w:t>
      </w:r>
    </w:p>
    <w:p w:rsidR="00D95B78" w:rsidRP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иные расходы, произведенные работником с разрешения или ведома работодателя.</w:t>
      </w:r>
    </w:p>
    <w:p w:rsidR="00D95B78" w:rsidRDefault="00D95B78" w:rsidP="00D95B78">
      <w:pPr>
        <w:spacing w:line="240" w:lineRule="auto"/>
        <w:ind w:firstLine="708"/>
        <w:jc w:val="both"/>
        <w:rPr>
          <w:rFonts w:ascii="Times New Roman" w:hAnsi="Times New Roman" w:cs="Times New Roman"/>
          <w:sz w:val="28"/>
          <w:szCs w:val="28"/>
        </w:rPr>
      </w:pPr>
      <w:r w:rsidRPr="00D95B78">
        <w:rPr>
          <w:rFonts w:ascii="Times New Roman" w:hAnsi="Times New Roman" w:cs="Times New Roman"/>
          <w:sz w:val="28"/>
          <w:szCs w:val="28"/>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9161FE" w:rsidRDefault="009161FE" w:rsidP="00D95B78">
      <w:pPr>
        <w:spacing w:line="240" w:lineRule="auto"/>
        <w:ind w:firstLine="708"/>
        <w:jc w:val="both"/>
        <w:rPr>
          <w:rFonts w:ascii="Times New Roman" w:hAnsi="Times New Roman" w:cs="Times New Roman"/>
          <w:sz w:val="28"/>
          <w:szCs w:val="28"/>
        </w:rPr>
      </w:pPr>
    </w:p>
    <w:p w:rsidR="009161FE" w:rsidRPr="009161FE" w:rsidRDefault="009161FE" w:rsidP="009161FE">
      <w:pPr>
        <w:spacing w:line="240" w:lineRule="auto"/>
        <w:ind w:firstLine="708"/>
        <w:jc w:val="both"/>
        <w:rPr>
          <w:rFonts w:ascii="Times New Roman" w:hAnsi="Times New Roman" w:cs="Times New Roman"/>
          <w:sz w:val="28"/>
          <w:szCs w:val="28"/>
        </w:rPr>
      </w:pP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МИНИСТЕРСТВО ФИНАНСОВ РОССИЙСКОЙ ФЕДЕРАЦИИ</w:t>
      </w:r>
    </w:p>
    <w:p w:rsidR="009161FE" w:rsidRPr="009161FE" w:rsidRDefault="009161FE" w:rsidP="009161FE">
      <w:pPr>
        <w:spacing w:line="240" w:lineRule="auto"/>
        <w:ind w:firstLine="708"/>
        <w:jc w:val="both"/>
        <w:rPr>
          <w:rFonts w:ascii="Times New Roman" w:hAnsi="Times New Roman" w:cs="Times New Roman"/>
          <w:sz w:val="28"/>
          <w:szCs w:val="28"/>
        </w:rPr>
      </w:pP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ПИСЬМО</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от 11 декабря 2015 г. N 03-03-06/2/72711</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Таким образом, расходы на командировки в виде суточных учитываются на основании утвержденного в установленном порядке авансового отчета. При этом представления каких-либо документов, подтверждающих фактически понесенные работником затраты, для признания расходов в виде суточных не требуется.</w:t>
      </w:r>
    </w:p>
    <w:p w:rsidR="009161FE" w:rsidRPr="009161FE" w:rsidRDefault="009161FE" w:rsidP="009161FE">
      <w:pPr>
        <w:spacing w:line="240" w:lineRule="auto"/>
        <w:ind w:firstLine="708"/>
        <w:jc w:val="both"/>
        <w:rPr>
          <w:rFonts w:ascii="Times New Roman" w:hAnsi="Times New Roman" w:cs="Times New Roman"/>
          <w:sz w:val="28"/>
          <w:szCs w:val="28"/>
        </w:rPr>
      </w:pP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Постановление Правительства РФ от 16.04.2025 N 501</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"Об утверждении Положения об особенностях направления работников в служебные командировки"</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8. 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9. Работникам возмещаются расходы по проезду, расходы по найму жилого помещения, суточные, а также иные расходы, произведенные работником с разрешения или ведома руководителя организации.</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Порядок и размеры возмещения расходов, связанных с командировками, определяются в соответствии с положениями статьи 168 Трудового кодекса Российской Федерации.</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пунктом 15 настоящего Положения.</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 xml:space="preserve">При командировках в местность, откуда работник исходя из условий транспортного сообщения и характера выполняемой в командировке работы </w:t>
      </w:r>
      <w:r w:rsidRPr="009161FE">
        <w:rPr>
          <w:rFonts w:ascii="Times New Roman" w:hAnsi="Times New Roman" w:cs="Times New Roman"/>
          <w:sz w:val="28"/>
          <w:szCs w:val="28"/>
        </w:rPr>
        <w:lastRenderedPageBreak/>
        <w:t>имеет возможность ежедневно возвращаться к месту постоянного жительства, суточные не выплачиваются.</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9161FE" w:rsidRPr="009161FE"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Если работник по окончании рабочего дня по согласованию с руководителем командирующей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порядке и размерах, которые предусмотрены абзацем вторым настоящего пункта.</w:t>
      </w:r>
    </w:p>
    <w:p w:rsidR="009161FE" w:rsidRPr="00596546" w:rsidRDefault="009161FE" w:rsidP="009161FE">
      <w:pPr>
        <w:spacing w:line="240" w:lineRule="auto"/>
        <w:ind w:firstLine="708"/>
        <w:jc w:val="both"/>
        <w:rPr>
          <w:rFonts w:ascii="Times New Roman" w:hAnsi="Times New Roman" w:cs="Times New Roman"/>
          <w:sz w:val="28"/>
          <w:szCs w:val="28"/>
        </w:rPr>
      </w:pPr>
      <w:r w:rsidRPr="009161FE">
        <w:rPr>
          <w:rFonts w:ascii="Times New Roman" w:hAnsi="Times New Roman" w:cs="Times New Roman"/>
          <w:sz w:val="28"/>
          <w:szCs w:val="28"/>
        </w:rPr>
        <w:t>В случае пересылки работнику, находящемуся в командировке, по его просьбе заработной платы расходы по ее пересылке несет работодатель.</w:t>
      </w:r>
    </w:p>
    <w:sectPr w:rsidR="009161FE" w:rsidRPr="00596546" w:rsidSect="007A3B62">
      <w:type w:val="continuous"/>
      <w:pgSz w:w="11907"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pitch w:val="variable"/>
    <w:sig w:usb0="E0002AEF" w:usb1="C0007841"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C97"/>
    <w:multiLevelType w:val="hybridMultilevel"/>
    <w:tmpl w:val="04269B34"/>
    <w:lvl w:ilvl="0" w:tplc="067C463C">
      <w:start w:val="1"/>
      <w:numFmt w:val="decimal"/>
      <w:suff w:val="space"/>
      <w:lvlText w:val="%1)"/>
      <w:lvlJc w:val="left"/>
      <w:pPr>
        <w:ind w:left="3621" w:hanging="360"/>
      </w:pPr>
      <w:rPr>
        <w:rFonts w:hint="default"/>
      </w:rPr>
    </w:lvl>
    <w:lvl w:ilvl="1" w:tplc="F62C7E44" w:tentative="1">
      <w:start w:val="1"/>
      <w:numFmt w:val="lowerLetter"/>
      <w:lvlText w:val="%2."/>
      <w:lvlJc w:val="left"/>
      <w:pPr>
        <w:ind w:left="-261" w:hanging="360"/>
      </w:pPr>
    </w:lvl>
    <w:lvl w:ilvl="2" w:tplc="73309AB0" w:tentative="1">
      <w:start w:val="1"/>
      <w:numFmt w:val="lowerRoman"/>
      <w:lvlText w:val="%3."/>
      <w:lvlJc w:val="right"/>
      <w:pPr>
        <w:ind w:left="459" w:hanging="180"/>
      </w:pPr>
    </w:lvl>
    <w:lvl w:ilvl="3" w:tplc="D0025912" w:tentative="1">
      <w:start w:val="1"/>
      <w:numFmt w:val="decimal"/>
      <w:lvlText w:val="%4."/>
      <w:lvlJc w:val="left"/>
      <w:pPr>
        <w:ind w:left="1179" w:hanging="360"/>
      </w:pPr>
    </w:lvl>
    <w:lvl w:ilvl="4" w:tplc="96EC4FA0" w:tentative="1">
      <w:start w:val="1"/>
      <w:numFmt w:val="lowerLetter"/>
      <w:lvlText w:val="%5."/>
      <w:lvlJc w:val="left"/>
      <w:pPr>
        <w:ind w:left="1899" w:hanging="360"/>
      </w:pPr>
    </w:lvl>
    <w:lvl w:ilvl="5" w:tplc="46D4AA58" w:tentative="1">
      <w:start w:val="1"/>
      <w:numFmt w:val="lowerRoman"/>
      <w:lvlText w:val="%6."/>
      <w:lvlJc w:val="right"/>
      <w:pPr>
        <w:ind w:left="2619" w:hanging="180"/>
      </w:pPr>
    </w:lvl>
    <w:lvl w:ilvl="6" w:tplc="6F824162" w:tentative="1">
      <w:start w:val="1"/>
      <w:numFmt w:val="decimal"/>
      <w:lvlText w:val="%7."/>
      <w:lvlJc w:val="left"/>
      <w:pPr>
        <w:ind w:left="3339" w:hanging="360"/>
      </w:pPr>
    </w:lvl>
    <w:lvl w:ilvl="7" w:tplc="CE82DDF2" w:tentative="1">
      <w:start w:val="1"/>
      <w:numFmt w:val="lowerLetter"/>
      <w:lvlText w:val="%8."/>
      <w:lvlJc w:val="left"/>
      <w:pPr>
        <w:ind w:left="4059" w:hanging="360"/>
      </w:pPr>
    </w:lvl>
    <w:lvl w:ilvl="8" w:tplc="292E3F72" w:tentative="1">
      <w:start w:val="1"/>
      <w:numFmt w:val="lowerRoman"/>
      <w:lvlText w:val="%9."/>
      <w:lvlJc w:val="right"/>
      <w:pPr>
        <w:ind w:left="4779" w:hanging="180"/>
      </w:pPr>
    </w:lvl>
  </w:abstractNum>
  <w:abstractNum w:abstractNumId="1" w15:restartNumberingAfterBreak="0">
    <w:nsid w:val="4D7E1323"/>
    <w:multiLevelType w:val="hybridMultilevel"/>
    <w:tmpl w:val="C9AA3AD4"/>
    <w:lvl w:ilvl="0" w:tplc="1F1A6F16">
      <w:start w:val="1"/>
      <w:numFmt w:val="decimal"/>
      <w:lvlText w:val="%1."/>
      <w:lvlJc w:val="left"/>
      <w:pPr>
        <w:ind w:left="720" w:hanging="360"/>
      </w:pPr>
    </w:lvl>
    <w:lvl w:ilvl="1" w:tplc="FB689000">
      <w:start w:val="1"/>
      <w:numFmt w:val="lowerLetter"/>
      <w:lvlText w:val="%2."/>
      <w:lvlJc w:val="left"/>
      <w:pPr>
        <w:ind w:left="1440" w:hanging="360"/>
      </w:pPr>
    </w:lvl>
    <w:lvl w:ilvl="2" w:tplc="E44004E0">
      <w:start w:val="1"/>
      <w:numFmt w:val="lowerRoman"/>
      <w:lvlText w:val="%3."/>
      <w:lvlJc w:val="right"/>
      <w:pPr>
        <w:ind w:left="2160" w:hanging="180"/>
      </w:pPr>
    </w:lvl>
    <w:lvl w:ilvl="3" w:tplc="5A8069EC">
      <w:start w:val="1"/>
      <w:numFmt w:val="decimal"/>
      <w:lvlText w:val="%4."/>
      <w:lvlJc w:val="left"/>
      <w:pPr>
        <w:ind w:left="2880" w:hanging="360"/>
      </w:pPr>
    </w:lvl>
    <w:lvl w:ilvl="4" w:tplc="1D6AE0E6">
      <w:start w:val="1"/>
      <w:numFmt w:val="lowerLetter"/>
      <w:lvlText w:val="%5."/>
      <w:lvlJc w:val="left"/>
      <w:pPr>
        <w:ind w:left="3600" w:hanging="360"/>
      </w:pPr>
    </w:lvl>
    <w:lvl w:ilvl="5" w:tplc="886E453E">
      <w:start w:val="1"/>
      <w:numFmt w:val="lowerRoman"/>
      <w:lvlText w:val="%6."/>
      <w:lvlJc w:val="right"/>
      <w:pPr>
        <w:ind w:left="4320" w:hanging="180"/>
      </w:pPr>
    </w:lvl>
    <w:lvl w:ilvl="6" w:tplc="F190C12A">
      <w:start w:val="1"/>
      <w:numFmt w:val="decimal"/>
      <w:lvlText w:val="%7."/>
      <w:lvlJc w:val="left"/>
      <w:pPr>
        <w:ind w:left="5040" w:hanging="360"/>
      </w:pPr>
    </w:lvl>
    <w:lvl w:ilvl="7" w:tplc="F58824DC">
      <w:start w:val="1"/>
      <w:numFmt w:val="lowerLetter"/>
      <w:lvlText w:val="%8."/>
      <w:lvlJc w:val="left"/>
      <w:pPr>
        <w:ind w:left="5760" w:hanging="360"/>
      </w:pPr>
    </w:lvl>
    <w:lvl w:ilvl="8" w:tplc="6C3465E4">
      <w:start w:val="1"/>
      <w:numFmt w:val="lowerRoman"/>
      <w:lvlText w:val="%9."/>
      <w:lvlJc w:val="right"/>
      <w:pPr>
        <w:ind w:left="6480" w:hanging="180"/>
      </w:pPr>
    </w:lvl>
  </w:abstractNum>
  <w:abstractNum w:abstractNumId="2" w15:restartNumberingAfterBreak="0">
    <w:nsid w:val="77D86F36"/>
    <w:multiLevelType w:val="hybridMultilevel"/>
    <w:tmpl w:val="7FAA2C5C"/>
    <w:lvl w:ilvl="0" w:tplc="10F84D32">
      <w:start w:val="1"/>
      <w:numFmt w:val="decimal"/>
      <w:lvlText w:val="%1."/>
      <w:lvlJc w:val="left"/>
      <w:pPr>
        <w:ind w:left="720" w:hanging="360"/>
      </w:pPr>
    </w:lvl>
    <w:lvl w:ilvl="1" w:tplc="F8509A2C">
      <w:start w:val="1"/>
      <w:numFmt w:val="lowerLetter"/>
      <w:lvlText w:val="%2."/>
      <w:lvlJc w:val="left"/>
      <w:pPr>
        <w:ind w:left="1440" w:hanging="360"/>
      </w:pPr>
    </w:lvl>
    <w:lvl w:ilvl="2" w:tplc="36F49A54">
      <w:start w:val="1"/>
      <w:numFmt w:val="lowerRoman"/>
      <w:lvlText w:val="%3."/>
      <w:lvlJc w:val="right"/>
      <w:pPr>
        <w:ind w:left="2160" w:hanging="180"/>
      </w:pPr>
    </w:lvl>
    <w:lvl w:ilvl="3" w:tplc="EF9AA5E6">
      <w:start w:val="1"/>
      <w:numFmt w:val="decimal"/>
      <w:lvlText w:val="%4."/>
      <w:lvlJc w:val="left"/>
      <w:pPr>
        <w:ind w:left="2880" w:hanging="360"/>
      </w:pPr>
    </w:lvl>
    <w:lvl w:ilvl="4" w:tplc="1514EE7E">
      <w:start w:val="1"/>
      <w:numFmt w:val="lowerLetter"/>
      <w:lvlText w:val="%5."/>
      <w:lvlJc w:val="left"/>
      <w:pPr>
        <w:ind w:left="3600" w:hanging="360"/>
      </w:pPr>
    </w:lvl>
    <w:lvl w:ilvl="5" w:tplc="D5745972">
      <w:start w:val="1"/>
      <w:numFmt w:val="lowerRoman"/>
      <w:lvlText w:val="%6."/>
      <w:lvlJc w:val="right"/>
      <w:pPr>
        <w:ind w:left="4320" w:hanging="180"/>
      </w:pPr>
    </w:lvl>
    <w:lvl w:ilvl="6" w:tplc="F7309620">
      <w:start w:val="1"/>
      <w:numFmt w:val="decimal"/>
      <w:lvlText w:val="%7."/>
      <w:lvlJc w:val="left"/>
      <w:pPr>
        <w:ind w:left="5040" w:hanging="360"/>
      </w:pPr>
    </w:lvl>
    <w:lvl w:ilvl="7" w:tplc="DB722354">
      <w:start w:val="1"/>
      <w:numFmt w:val="lowerLetter"/>
      <w:lvlText w:val="%8."/>
      <w:lvlJc w:val="left"/>
      <w:pPr>
        <w:ind w:left="5760" w:hanging="360"/>
      </w:pPr>
    </w:lvl>
    <w:lvl w:ilvl="8" w:tplc="C0343BAC">
      <w:start w:val="1"/>
      <w:numFmt w:val="lowerRoman"/>
      <w:lvlText w:val="%9."/>
      <w:lvlJc w:val="right"/>
      <w:pPr>
        <w:ind w:left="6480" w:hanging="180"/>
      </w:pPr>
    </w:lvl>
  </w:abstractNum>
  <w:num w:numId="1" w16cid:durableId="1310548729">
    <w:abstractNumId w:val="2"/>
  </w:num>
  <w:num w:numId="2" w16cid:durableId="1809975768">
    <w:abstractNumId w:val="1"/>
  </w:num>
  <w:num w:numId="3" w16cid:durableId="176476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3056F"/>
    <w:rsid w:val="000744F8"/>
    <w:rsid w:val="00187F80"/>
    <w:rsid w:val="001D3020"/>
    <w:rsid w:val="00344C55"/>
    <w:rsid w:val="003E661C"/>
    <w:rsid w:val="00422C3C"/>
    <w:rsid w:val="004668BB"/>
    <w:rsid w:val="00596546"/>
    <w:rsid w:val="006531B6"/>
    <w:rsid w:val="007A3B62"/>
    <w:rsid w:val="007F4DDE"/>
    <w:rsid w:val="009161FE"/>
    <w:rsid w:val="00917593"/>
    <w:rsid w:val="00A350CE"/>
    <w:rsid w:val="00A807A4"/>
    <w:rsid w:val="00B47C15"/>
    <w:rsid w:val="00CB5903"/>
    <w:rsid w:val="00D95B78"/>
    <w:rsid w:val="00FB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C8B9"/>
  <w15:chartTrackingRefBased/>
  <w15:docId w15:val="{9461E328-93DC-9D4C-AD02-F8EA4583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ru-RU" w:eastAsia="en-US"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character" w:styleId="a5">
    <w:name w:val="Hyperlink"/>
    <w:uiPriority w:val="99"/>
    <w:semiHidden/>
    <w:unhideWhenUsed/>
    <w:rPr>
      <w:color w:val="2F69C7"/>
      <w:u w:val="single"/>
    </w:rPr>
  </w:style>
  <w:style w:type="table" w:styleId="a6">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7">
    <w:name w:val="List Paragraph"/>
    <w:basedOn w:val="a"/>
    <w:link w:val="a8"/>
    <w:uiPriority w:val="34"/>
    <w:qFormat/>
    <w:rsid w:val="00FB7177"/>
    <w:pPr>
      <w:spacing w:after="200"/>
      <w:ind w:left="720"/>
      <w:contextualSpacing/>
    </w:pPr>
    <w:rPr>
      <w:rFonts w:ascii="Times New Roman" w:eastAsiaTheme="minorHAnsi" w:hAnsi="Times New Roman" w:cstheme="minorBidi"/>
      <w:sz w:val="28"/>
      <w14:ligatures w14:val="none"/>
    </w:rPr>
  </w:style>
  <w:style w:type="character" w:customStyle="1" w:styleId="a8">
    <w:name w:val="Абзац списка Знак"/>
    <w:basedOn w:val="a0"/>
    <w:link w:val="a7"/>
    <w:uiPriority w:val="34"/>
    <w:qFormat/>
    <w:rsid w:val="00FB7177"/>
    <w:rPr>
      <w:rFonts w:ascii="Times New Roman" w:eastAsiaTheme="minorHAnsi" w:hAnsi="Times New Roman" w:cstheme="minorBidi"/>
      <w:sz w:val="28"/>
      <w14:ligatures w14:val="none"/>
    </w:rPr>
  </w:style>
  <w:style w:type="paragraph" w:styleId="a9">
    <w:name w:val="Body Text"/>
    <w:basedOn w:val="a"/>
    <w:link w:val="aa"/>
    <w:uiPriority w:val="99"/>
    <w:unhideWhenUsed/>
    <w:rsid w:val="0003056F"/>
    <w:pPr>
      <w:spacing w:line="360" w:lineRule="auto"/>
      <w:jc w:val="center"/>
    </w:pPr>
    <w:rPr>
      <w:rFonts w:ascii="Times New Roman" w:hAnsi="Times New Roman" w:cs="Times New Roman"/>
      <w:b/>
      <w:sz w:val="30"/>
      <w:szCs w:val="30"/>
      <w:lang w:eastAsia="ru-RU"/>
      <w14:ligatures w14:val="none"/>
    </w:rPr>
  </w:style>
  <w:style w:type="character" w:customStyle="1" w:styleId="aa">
    <w:name w:val="Основной текст Знак"/>
    <w:basedOn w:val="a0"/>
    <w:link w:val="a9"/>
    <w:uiPriority w:val="99"/>
    <w:rsid w:val="0003056F"/>
    <w:rPr>
      <w:rFonts w:ascii="Times New Roman" w:hAnsi="Times New Roman" w:cs="Times New Roman"/>
      <w:b/>
      <w:sz w:val="30"/>
      <w:szCs w:val="30"/>
      <w:lang w:eastAsia="ru-RU"/>
      <w14:ligatures w14:val="none"/>
    </w:rPr>
  </w:style>
  <w:style w:type="paragraph" w:customStyle="1" w:styleId="ab">
    <w:name w:val="Заголовок ФЗ"/>
    <w:qFormat/>
    <w:rsid w:val="0003056F"/>
    <w:pPr>
      <w:spacing w:before="480" w:line="240" w:lineRule="auto"/>
      <w:jc w:val="center"/>
    </w:pPr>
    <w:rPr>
      <w:rFonts w:ascii="Times New Roman Полужирный" w:eastAsiaTheme="minorHAnsi" w:hAnsi="Times New Roman Полужирный" w:cs="Times New Roman"/>
      <w:b/>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18266FF8-31FE-0E4B-8F97-0718C7B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2328</Words>
  <Characters>13273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Pavel Gamolskiy</cp:lastModifiedBy>
  <cp:revision>6</cp:revision>
  <dcterms:created xsi:type="dcterms:W3CDTF">2024-11-06T21:43:00Z</dcterms:created>
  <dcterms:modified xsi:type="dcterms:W3CDTF">2025-10-14T09:36:00Z</dcterms:modified>
</cp:coreProperties>
</file>