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8A3C" w14:textId="10BF7481" w:rsidR="0049367B" w:rsidRPr="0049367B" w:rsidRDefault="0049367B" w:rsidP="0049367B">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Pr>
          <w:rFonts w:eastAsia="Times New Roman"/>
          <w:b/>
          <w:bCs/>
          <w:color w:val="000000"/>
          <w:shd w:val="clear" w:color="auto" w:fill="FFFFFF"/>
          <w:lang w:val="ru-RU"/>
        </w:rPr>
        <w:t xml:space="preserve">ВОПРОС </w:t>
      </w:r>
      <w:r w:rsidRPr="0049367B">
        <w:rPr>
          <w:rFonts w:eastAsia="Times New Roman"/>
          <w:b/>
          <w:bCs/>
          <w:color w:val="000000"/>
          <w:shd w:val="clear" w:color="auto" w:fill="FFFFFF"/>
          <w:lang w:val="ru-RU"/>
        </w:rPr>
        <w:t xml:space="preserve">2. Ирина Ивановна Р.  </w:t>
      </w:r>
    </w:p>
    <w:p w14:paraId="41FCB4CF" w14:textId="77777777" w:rsidR="0049367B" w:rsidRPr="0049367B" w:rsidRDefault="0049367B" w:rsidP="0049367B">
      <w:pPr>
        <w:pBdr>
          <w:top w:val="single" w:sz="4" w:space="1" w:color="auto"/>
          <w:left w:val="single" w:sz="4" w:space="4" w:color="auto"/>
          <w:bottom w:val="single" w:sz="4" w:space="1" w:color="auto"/>
          <w:right w:val="single" w:sz="4" w:space="4" w:color="auto"/>
        </w:pBdr>
        <w:spacing w:after="160" w:line="259" w:lineRule="auto"/>
        <w:rPr>
          <w:rFonts w:eastAsia="Times New Roman"/>
          <w:color w:val="000000"/>
          <w:shd w:val="clear" w:color="auto" w:fill="FFFFFF"/>
          <w:lang w:val="ru-RU"/>
        </w:rPr>
      </w:pPr>
      <w:r w:rsidRPr="0049367B">
        <w:rPr>
          <w:rFonts w:eastAsia="Times New Roman"/>
          <w:color w:val="000000"/>
          <w:shd w:val="clear" w:color="auto" w:fill="FFFFFF"/>
          <w:lang w:val="ru-RU"/>
        </w:rPr>
        <w:t>Добрый день, если авто в лизинге и его ещё не выкупили, начисляется ли амортизация?</w:t>
      </w:r>
    </w:p>
    <w:p w14:paraId="060B08E1" w14:textId="16B13FBF" w:rsidR="000C6DDA" w:rsidRPr="0049367B" w:rsidRDefault="0049367B" w:rsidP="0049367B">
      <w:pPr>
        <w:pBdr>
          <w:top w:val="single" w:sz="4" w:space="1" w:color="auto"/>
          <w:left w:val="single" w:sz="4" w:space="4" w:color="auto"/>
          <w:bottom w:val="single" w:sz="4" w:space="1" w:color="auto"/>
          <w:right w:val="single" w:sz="4" w:space="4" w:color="auto"/>
        </w:pBdr>
        <w:spacing w:after="160" w:line="259" w:lineRule="auto"/>
        <w:rPr>
          <w:rFonts w:eastAsia="Times New Roman"/>
          <w:color w:val="000000"/>
          <w:shd w:val="clear" w:color="auto" w:fill="FFFFFF"/>
          <w:lang w:val="ru-RU"/>
        </w:rPr>
      </w:pPr>
      <w:r w:rsidRPr="0049367B">
        <w:rPr>
          <w:rFonts w:eastAsia="Times New Roman"/>
          <w:color w:val="000000"/>
          <w:shd w:val="clear" w:color="auto" w:fill="FFFFFF"/>
          <w:lang w:val="ru-RU"/>
        </w:rPr>
        <w:t>Или её начисляем после выкупа?</w:t>
      </w:r>
    </w:p>
    <w:p w14:paraId="435095BC" w14:textId="77777777" w:rsidR="0068654F" w:rsidRDefault="0068654F" w:rsidP="0068654F">
      <w:pPr>
        <w:spacing w:after="160" w:line="259" w:lineRule="auto"/>
        <w:jc w:val="both"/>
        <w:rPr>
          <w:rFonts w:eastAsia="Times New Roman"/>
          <w:color w:val="000000"/>
          <w:shd w:val="clear" w:color="auto" w:fill="FFFFFF"/>
          <w:lang w:val="ru-RU"/>
        </w:rPr>
      </w:pPr>
    </w:p>
    <w:p w14:paraId="5AF8487C" w14:textId="4E0BA46B" w:rsidR="0049367B" w:rsidRPr="0049367B" w:rsidRDefault="0049367B" w:rsidP="00967376">
      <w:pPr>
        <w:spacing w:after="160" w:line="259" w:lineRule="auto"/>
        <w:rPr>
          <w:rFonts w:eastAsia="Times New Roman"/>
          <w:b/>
          <w:bCs/>
          <w:color w:val="000000"/>
          <w:shd w:val="clear" w:color="auto" w:fill="FFFFFF"/>
          <w:lang w:val="ru-RU"/>
        </w:rPr>
      </w:pPr>
      <w:r w:rsidRPr="0049367B">
        <w:rPr>
          <w:rFonts w:eastAsia="Times New Roman"/>
          <w:b/>
          <w:bCs/>
          <w:color w:val="000000"/>
          <w:shd w:val="clear" w:color="auto" w:fill="FFFFFF"/>
          <w:lang w:val="ru-RU"/>
        </w:rPr>
        <w:t>ФСБУ 25/2018 "Бухгалтерский учет аренды"</w:t>
      </w:r>
    </w:p>
    <w:p w14:paraId="36186A9E" w14:textId="77777777" w:rsidR="0049367B" w:rsidRPr="0049367B" w:rsidRDefault="0049367B" w:rsidP="0049367B">
      <w:pPr>
        <w:spacing w:after="160" w:line="259" w:lineRule="auto"/>
        <w:rPr>
          <w:rFonts w:eastAsia="Times New Roman"/>
          <w:b/>
          <w:bCs/>
          <w:color w:val="000000"/>
          <w:shd w:val="clear" w:color="auto" w:fill="FFFFFF"/>
          <w:lang w:val="ru-RU"/>
        </w:rPr>
      </w:pPr>
      <w:r w:rsidRPr="0049367B">
        <w:rPr>
          <w:rFonts w:eastAsia="Times New Roman"/>
          <w:b/>
          <w:bCs/>
          <w:color w:val="000000"/>
          <w:shd w:val="clear" w:color="auto" w:fill="FFFFFF"/>
          <w:lang w:val="ru-RU"/>
        </w:rPr>
        <w:t>II. Учет у арендатора</w:t>
      </w:r>
    </w:p>
    <w:p w14:paraId="56E9F9E1" w14:textId="76319917" w:rsidR="0049367B" w:rsidRDefault="0049367B" w:rsidP="0049367B">
      <w:pPr>
        <w:spacing w:after="160" w:line="259" w:lineRule="auto"/>
        <w:jc w:val="both"/>
        <w:rPr>
          <w:rFonts w:eastAsia="Times New Roman"/>
          <w:color w:val="000000"/>
          <w:shd w:val="clear" w:color="auto" w:fill="FFFFFF"/>
          <w:lang w:val="ru-RU"/>
        </w:rPr>
      </w:pPr>
      <w:r w:rsidRPr="0049367B">
        <w:rPr>
          <w:rFonts w:eastAsia="Times New Roman"/>
          <w:color w:val="000000"/>
          <w:shd w:val="clear" w:color="auto" w:fill="FFFFFF"/>
          <w:lang w:val="ru-RU"/>
        </w:rPr>
        <w:t xml:space="preserve">10. Арендатор признает предмет аренды </w:t>
      </w:r>
      <w:r w:rsidRPr="00C62872">
        <w:rPr>
          <w:rFonts w:eastAsia="Times New Roman"/>
          <w:b/>
          <w:bCs/>
          <w:color w:val="000000"/>
          <w:shd w:val="clear" w:color="auto" w:fill="FFFFFF"/>
          <w:lang w:val="ru-RU"/>
        </w:rPr>
        <w:t>на дату предоставления предмета аренды</w:t>
      </w:r>
      <w:r w:rsidRPr="0049367B">
        <w:rPr>
          <w:rFonts w:eastAsia="Times New Roman"/>
          <w:color w:val="000000"/>
          <w:shd w:val="clear" w:color="auto" w:fill="FFFFFF"/>
          <w:lang w:val="ru-RU"/>
        </w:rPr>
        <w:t xml:space="preserve"> в качестве права пользования активом с одновременным признанием обязательства по аренде, если иное не установлено настоящим Стандартом. Организация должна применять единую учетную политику в отношении права пользования активом и в отношении схожих по характеру использования активов (незавершенных капитальных вложений, основных средств и других), с учетом особенностей, установленных настоящим Стандартом.</w:t>
      </w:r>
    </w:p>
    <w:p w14:paraId="331B6502" w14:textId="77777777" w:rsidR="00C62872" w:rsidRPr="00C62872" w:rsidRDefault="00C62872" w:rsidP="00C62872">
      <w:pPr>
        <w:spacing w:after="160" w:line="259" w:lineRule="auto"/>
        <w:jc w:val="both"/>
        <w:rPr>
          <w:rFonts w:eastAsia="Times New Roman"/>
          <w:color w:val="000000"/>
          <w:shd w:val="clear" w:color="auto" w:fill="FFFFFF"/>
          <w:lang w:val="ru-RU"/>
        </w:rPr>
      </w:pPr>
      <w:r w:rsidRPr="00C62872">
        <w:rPr>
          <w:rFonts w:eastAsia="Times New Roman"/>
          <w:color w:val="000000"/>
          <w:shd w:val="clear" w:color="auto" w:fill="FFFFFF"/>
          <w:lang w:val="ru-RU"/>
        </w:rPr>
        <w:t xml:space="preserve">11. При выполнении условий, установленных пунктом 12 настоящего Стандарта, арендатор </w:t>
      </w:r>
      <w:r w:rsidRPr="00C62872">
        <w:rPr>
          <w:rFonts w:eastAsia="Times New Roman"/>
          <w:b/>
          <w:bCs/>
          <w:color w:val="000000"/>
          <w:shd w:val="clear" w:color="auto" w:fill="FFFFFF"/>
          <w:lang w:val="ru-RU"/>
        </w:rPr>
        <w:t>может не признавать предмет аренды</w:t>
      </w:r>
      <w:r w:rsidRPr="00C62872">
        <w:rPr>
          <w:rFonts w:eastAsia="Times New Roman"/>
          <w:color w:val="000000"/>
          <w:shd w:val="clear" w:color="auto" w:fill="FFFFFF"/>
          <w:lang w:val="ru-RU"/>
        </w:rPr>
        <w:t xml:space="preserve"> в качестве права пользования активом и не признавать обязательство по аренде в любом из следующих случаев:</w:t>
      </w:r>
    </w:p>
    <w:p w14:paraId="3CFEDF9F" w14:textId="77777777" w:rsidR="00C62872" w:rsidRPr="00C62872" w:rsidRDefault="00C62872" w:rsidP="00C62872">
      <w:pPr>
        <w:spacing w:after="160" w:line="259" w:lineRule="auto"/>
        <w:jc w:val="both"/>
        <w:rPr>
          <w:rFonts w:eastAsia="Times New Roman"/>
          <w:color w:val="000000"/>
          <w:shd w:val="clear" w:color="auto" w:fill="FFFFFF"/>
          <w:lang w:val="ru-RU"/>
        </w:rPr>
      </w:pPr>
      <w:r w:rsidRPr="00C62872">
        <w:rPr>
          <w:rFonts w:eastAsia="Times New Roman"/>
          <w:color w:val="000000"/>
          <w:shd w:val="clear" w:color="auto" w:fill="FFFFFF"/>
          <w:lang w:val="ru-RU"/>
        </w:rPr>
        <w:t xml:space="preserve">в) арендатор относится к экономическим субъектам, которые </w:t>
      </w:r>
      <w:r w:rsidRPr="00C62872">
        <w:rPr>
          <w:rFonts w:eastAsia="Times New Roman"/>
          <w:b/>
          <w:bCs/>
          <w:color w:val="000000"/>
          <w:shd w:val="clear" w:color="auto" w:fill="FFFFFF"/>
          <w:lang w:val="ru-RU"/>
        </w:rPr>
        <w:t>вправе применять упрощенные способы ведения бухгалтерского учета</w:t>
      </w:r>
      <w:r w:rsidRPr="00C62872">
        <w:rPr>
          <w:rFonts w:eastAsia="Times New Roman"/>
          <w:color w:val="000000"/>
          <w:shd w:val="clear" w:color="auto" w:fill="FFFFFF"/>
          <w:lang w:val="ru-RU"/>
        </w:rPr>
        <w:t>, включая упрощенную бухгалтерскую (финансовую) отчетность (далее - упрощенные способы учета).</w:t>
      </w:r>
    </w:p>
    <w:p w14:paraId="18D5A973" w14:textId="7670F295" w:rsidR="00C62872" w:rsidRPr="00C62872" w:rsidRDefault="00C62872" w:rsidP="00C62872">
      <w:pPr>
        <w:spacing w:after="160" w:line="259" w:lineRule="auto"/>
        <w:jc w:val="both"/>
        <w:rPr>
          <w:rFonts w:eastAsia="Times New Roman"/>
          <w:color w:val="000000"/>
          <w:shd w:val="clear" w:color="auto" w:fill="FFFFFF"/>
          <w:lang w:val="ru-RU"/>
        </w:rPr>
      </w:pPr>
      <w:r w:rsidRPr="00C62872">
        <w:rPr>
          <w:rFonts w:eastAsia="Times New Roman"/>
          <w:color w:val="000000"/>
          <w:shd w:val="clear" w:color="auto" w:fill="FFFFFF"/>
          <w:lang w:val="ru-RU"/>
        </w:rPr>
        <w:t>В случаях, указанных в подпунктах "б" и "в" настоящего пункта, решение о применении настоящего пункта принимается в отношении каждого предмета аренды.</w:t>
      </w:r>
    </w:p>
    <w:p w14:paraId="51443FCC" w14:textId="57D251EE" w:rsidR="00C62872" w:rsidRDefault="00C62872" w:rsidP="00C62872">
      <w:pPr>
        <w:spacing w:after="160" w:line="259" w:lineRule="auto"/>
        <w:jc w:val="both"/>
        <w:rPr>
          <w:rFonts w:eastAsia="Times New Roman"/>
          <w:color w:val="000000"/>
          <w:shd w:val="clear" w:color="auto" w:fill="FFFFFF"/>
          <w:lang w:val="ru-RU"/>
        </w:rPr>
      </w:pPr>
      <w:r w:rsidRPr="00C62872">
        <w:rPr>
          <w:rFonts w:eastAsia="Times New Roman"/>
          <w:color w:val="000000"/>
          <w:shd w:val="clear" w:color="auto" w:fill="FFFFFF"/>
          <w:lang w:val="ru-RU"/>
        </w:rPr>
        <w:t>При применении настоящего пункта арендные платежи признаются в качестве расхода равномерно в течение срока аренды или на основе другого систематического подхода, отражающего характер использования арендатором экономических выгод от предмета аренды.</w:t>
      </w:r>
    </w:p>
    <w:p w14:paraId="200F4CF9" w14:textId="42505551" w:rsidR="00703AB1" w:rsidRPr="00703AB1" w:rsidRDefault="00703AB1" w:rsidP="00703AB1">
      <w:pPr>
        <w:spacing w:after="160" w:line="259" w:lineRule="auto"/>
        <w:jc w:val="both"/>
        <w:rPr>
          <w:rFonts w:eastAsia="Times New Roman"/>
          <w:color w:val="000000"/>
          <w:shd w:val="clear" w:color="auto" w:fill="FFFFFF"/>
          <w:lang w:val="ru-RU"/>
        </w:rPr>
      </w:pPr>
      <w:r w:rsidRPr="00703AB1">
        <w:rPr>
          <w:rFonts w:eastAsia="Times New Roman"/>
          <w:color w:val="000000"/>
          <w:shd w:val="clear" w:color="auto" w:fill="FFFFFF"/>
          <w:lang w:val="ru-RU"/>
        </w:rPr>
        <w:t>13. Право пользования активом признается по фактической стоимости. Фактическая стоимость права пользования активом включает:</w:t>
      </w:r>
    </w:p>
    <w:p w14:paraId="0608ABA0" w14:textId="77777777" w:rsidR="00703AB1" w:rsidRPr="00703AB1" w:rsidRDefault="00703AB1" w:rsidP="00703AB1">
      <w:pPr>
        <w:spacing w:after="160" w:line="259" w:lineRule="auto"/>
        <w:jc w:val="both"/>
        <w:rPr>
          <w:rFonts w:eastAsia="Times New Roman"/>
          <w:color w:val="000000"/>
          <w:shd w:val="clear" w:color="auto" w:fill="FFFFFF"/>
          <w:lang w:val="ru-RU"/>
        </w:rPr>
      </w:pPr>
      <w:r w:rsidRPr="00703AB1">
        <w:rPr>
          <w:rFonts w:eastAsia="Times New Roman"/>
          <w:color w:val="000000"/>
          <w:shd w:val="clear" w:color="auto" w:fill="FFFFFF"/>
          <w:lang w:val="ru-RU"/>
        </w:rPr>
        <w:t>а) величину первоначальной оценки обязательства по аренде;</w:t>
      </w:r>
    </w:p>
    <w:p w14:paraId="15ACD153" w14:textId="77777777" w:rsidR="00703AB1" w:rsidRPr="00703AB1" w:rsidRDefault="00703AB1" w:rsidP="00703AB1">
      <w:pPr>
        <w:spacing w:after="160" w:line="259" w:lineRule="auto"/>
        <w:jc w:val="both"/>
        <w:rPr>
          <w:rFonts w:eastAsia="Times New Roman"/>
          <w:color w:val="000000"/>
          <w:shd w:val="clear" w:color="auto" w:fill="FFFFFF"/>
          <w:lang w:val="ru-RU"/>
        </w:rPr>
      </w:pPr>
      <w:r w:rsidRPr="00703AB1">
        <w:rPr>
          <w:rFonts w:eastAsia="Times New Roman"/>
          <w:color w:val="000000"/>
          <w:shd w:val="clear" w:color="auto" w:fill="FFFFFF"/>
          <w:lang w:val="ru-RU"/>
        </w:rPr>
        <w:t>б) арендные платежи, осуществленные на дату предоставления предмета аренды или до такой даты;</w:t>
      </w:r>
    </w:p>
    <w:p w14:paraId="21E71979" w14:textId="77777777" w:rsidR="00703AB1" w:rsidRPr="00703AB1" w:rsidRDefault="00703AB1" w:rsidP="00703AB1">
      <w:pPr>
        <w:spacing w:after="160" w:line="259" w:lineRule="auto"/>
        <w:jc w:val="both"/>
        <w:rPr>
          <w:rFonts w:eastAsia="Times New Roman"/>
          <w:color w:val="000000"/>
          <w:shd w:val="clear" w:color="auto" w:fill="FFFFFF"/>
          <w:lang w:val="ru-RU"/>
        </w:rPr>
      </w:pPr>
      <w:r w:rsidRPr="00703AB1">
        <w:rPr>
          <w:rFonts w:eastAsia="Times New Roman"/>
          <w:color w:val="000000"/>
          <w:shd w:val="clear" w:color="auto" w:fill="FFFFFF"/>
          <w:lang w:val="ru-RU"/>
        </w:rPr>
        <w:t>в) затраты арендатора в связи с поступлением предмета аренды и приведением его в состояние, пригодное для использования в запланированных целях;</w:t>
      </w:r>
    </w:p>
    <w:p w14:paraId="5EBBAFA0" w14:textId="39C8F2E6" w:rsidR="00703AB1" w:rsidRDefault="00703AB1" w:rsidP="00703AB1">
      <w:pPr>
        <w:spacing w:after="160" w:line="259" w:lineRule="auto"/>
        <w:jc w:val="both"/>
        <w:rPr>
          <w:rFonts w:eastAsia="Times New Roman"/>
          <w:color w:val="000000"/>
          <w:shd w:val="clear" w:color="auto" w:fill="FFFFFF"/>
          <w:lang w:val="ru-RU"/>
        </w:rPr>
      </w:pPr>
      <w:r w:rsidRPr="00703AB1">
        <w:rPr>
          <w:rFonts w:eastAsia="Times New Roman"/>
          <w:color w:val="000000"/>
          <w:shd w:val="clear" w:color="auto" w:fill="FFFFFF"/>
          <w:lang w:val="ru-RU"/>
        </w:rPr>
        <w:t>г) величину подлежащего исполнению арендатором оценочного обязательства, в частности, по демонтажу, перемещению предмета аренды, восстановлению окружающей среды, восстановлению предмета аренды до требуемого договором аренды состояния, если возникновение такого обязательства у арендатора обусловлено получением предмета аренды.</w:t>
      </w:r>
    </w:p>
    <w:p w14:paraId="0BA76274" w14:textId="77777777" w:rsidR="00C62872" w:rsidRPr="00C62872" w:rsidRDefault="00C62872" w:rsidP="00C62872">
      <w:pPr>
        <w:spacing w:after="160" w:line="259" w:lineRule="auto"/>
        <w:jc w:val="both"/>
        <w:rPr>
          <w:rFonts w:eastAsia="Times New Roman"/>
          <w:color w:val="000000"/>
          <w:shd w:val="clear" w:color="auto" w:fill="FFFFFF"/>
          <w:lang w:val="ru-RU"/>
        </w:rPr>
      </w:pPr>
      <w:r w:rsidRPr="00C62872">
        <w:rPr>
          <w:rFonts w:eastAsia="Times New Roman"/>
          <w:color w:val="000000"/>
          <w:shd w:val="clear" w:color="auto" w:fill="FFFFFF"/>
          <w:lang w:val="ru-RU"/>
        </w:rPr>
        <w:t>14. Обязательство по аренде первоначально оценивается как сумма приведенной стоимости будущих арендных платежей на дату этой оценки.</w:t>
      </w:r>
    </w:p>
    <w:p w14:paraId="7982B540" w14:textId="2F78A1FB" w:rsidR="00C62872" w:rsidRPr="00C62872" w:rsidRDefault="00C62872" w:rsidP="00C62872">
      <w:pPr>
        <w:spacing w:after="160" w:line="259" w:lineRule="auto"/>
        <w:jc w:val="both"/>
        <w:rPr>
          <w:rFonts w:eastAsia="Times New Roman"/>
          <w:b/>
          <w:bCs/>
          <w:color w:val="000000"/>
          <w:shd w:val="clear" w:color="auto" w:fill="FFFFFF"/>
          <w:lang w:val="ru-RU"/>
        </w:rPr>
      </w:pPr>
      <w:r w:rsidRPr="00C62872">
        <w:rPr>
          <w:rFonts w:eastAsia="Times New Roman"/>
          <w:b/>
          <w:bCs/>
          <w:color w:val="000000"/>
          <w:shd w:val="clear" w:color="auto" w:fill="FFFFFF"/>
          <w:lang w:val="ru-RU"/>
        </w:rPr>
        <w:t>Арендатор, который вправе применять упрощенные способы учета, может первоначально оценивать обязательство по аренде как сумму номинальных величин будущих арендных платежей на дату этой оценки.</w:t>
      </w:r>
    </w:p>
    <w:p w14:paraId="7647EBCA" w14:textId="2EDBDD97" w:rsidR="00703AB1" w:rsidRDefault="00703AB1" w:rsidP="0049367B">
      <w:pPr>
        <w:spacing w:after="160" w:line="259" w:lineRule="auto"/>
        <w:jc w:val="both"/>
        <w:rPr>
          <w:rFonts w:eastAsia="Times New Roman"/>
          <w:color w:val="000000"/>
          <w:shd w:val="clear" w:color="auto" w:fill="FFFFFF"/>
          <w:lang w:val="ru-RU"/>
        </w:rPr>
      </w:pPr>
      <w:r w:rsidRPr="00703AB1">
        <w:rPr>
          <w:rFonts w:eastAsia="Times New Roman"/>
          <w:color w:val="000000"/>
          <w:shd w:val="clear" w:color="auto" w:fill="FFFFFF"/>
          <w:lang w:val="ru-RU"/>
        </w:rPr>
        <w:lastRenderedPageBreak/>
        <w:t>17. Стоимость права пользования активом погашается посредством амортизации, за исключением случаев, когда схожие по характеру использования активы не амортизируются. Срок полезного использования права пользования активом не должен превышать срок аренды, если не предполагается переход к арендатору права собственности на предмет аренды.</w:t>
      </w:r>
    </w:p>
    <w:p w14:paraId="6C10CDD3" w14:textId="2E7B6B24" w:rsidR="00C62872" w:rsidRPr="001763EF" w:rsidRDefault="001763EF" w:rsidP="0049367B">
      <w:pPr>
        <w:spacing w:after="160" w:line="259" w:lineRule="auto"/>
        <w:jc w:val="both"/>
        <w:rPr>
          <w:rFonts w:eastAsia="Times New Roman"/>
          <w:b/>
          <w:bCs/>
          <w:color w:val="000000"/>
          <w:shd w:val="clear" w:color="auto" w:fill="FFFFFF"/>
          <w:lang w:val="ru-RU"/>
        </w:rPr>
      </w:pPr>
      <w:r w:rsidRPr="001763EF">
        <w:rPr>
          <w:rFonts w:eastAsia="Times New Roman"/>
          <w:b/>
          <w:bCs/>
          <w:color w:val="000000"/>
          <w:shd w:val="clear" w:color="auto" w:fill="FFFFFF"/>
          <w:lang w:val="ru-RU"/>
        </w:rPr>
        <w:t>Рекомендаци</w:t>
      </w:r>
      <w:r w:rsidRPr="001763EF">
        <w:rPr>
          <w:rFonts w:eastAsia="Times New Roman"/>
          <w:b/>
          <w:bCs/>
          <w:color w:val="000000"/>
          <w:shd w:val="clear" w:color="auto" w:fill="FFFFFF"/>
          <w:lang w:val="ru-RU"/>
        </w:rPr>
        <w:t>я</w:t>
      </w:r>
      <w:r w:rsidRPr="001763EF">
        <w:rPr>
          <w:rFonts w:eastAsia="Times New Roman"/>
          <w:b/>
          <w:bCs/>
          <w:color w:val="000000"/>
          <w:shd w:val="clear" w:color="auto" w:fill="FFFFFF"/>
          <w:lang w:val="ru-RU"/>
        </w:rPr>
        <w:t xml:space="preserve"> Бухгалтерского методологического центра Р-133/2021-ОК Лизинг "Справедливая стоимость предмета лизинга")</w:t>
      </w:r>
    </w:p>
    <w:p w14:paraId="23E5C69F" w14:textId="77777777" w:rsidR="0068654F" w:rsidRPr="0068654F" w:rsidRDefault="0068654F" w:rsidP="0068654F">
      <w:pPr>
        <w:spacing w:after="160" w:line="259" w:lineRule="auto"/>
        <w:jc w:val="both"/>
        <w:rPr>
          <w:rFonts w:eastAsia="Times New Roman"/>
          <w:color w:val="000000"/>
          <w:shd w:val="clear" w:color="auto" w:fill="FFFFFF"/>
          <w:lang w:val="ru-RU"/>
        </w:rPr>
      </w:pPr>
      <w:r w:rsidRPr="0068654F">
        <w:rPr>
          <w:rFonts w:eastAsia="Times New Roman"/>
          <w:color w:val="000000"/>
          <w:shd w:val="clear" w:color="auto" w:fill="FFFFFF"/>
          <w:lang w:val="ru-RU"/>
        </w:rPr>
        <w:t>ФСБУ 25/2018 "Бухгалтерский учет аренды" не дает определения справедливой стоимости предмета лизинга и не описывает правила ее оценки.</w:t>
      </w:r>
    </w:p>
    <w:p w14:paraId="5F53617F" w14:textId="5FA77E5A" w:rsidR="0068654F" w:rsidRDefault="0068654F" w:rsidP="0068654F">
      <w:pPr>
        <w:spacing w:after="160" w:line="259" w:lineRule="auto"/>
        <w:jc w:val="both"/>
        <w:rPr>
          <w:rFonts w:eastAsia="Times New Roman"/>
          <w:color w:val="000000"/>
          <w:shd w:val="clear" w:color="auto" w:fill="FFFFFF"/>
          <w:lang w:val="ru-RU"/>
        </w:rPr>
      </w:pPr>
      <w:r w:rsidRPr="0068654F">
        <w:rPr>
          <w:rFonts w:eastAsia="Times New Roman"/>
          <w:color w:val="000000"/>
          <w:shd w:val="clear" w:color="auto" w:fill="FFFFFF"/>
          <w:lang w:val="ru-RU"/>
        </w:rPr>
        <w:t>Справедливой стоимостью предмета лизинга обычно считается цена его приобретения лизингодателем у поставщика для лизингополучателя.</w:t>
      </w:r>
    </w:p>
    <w:p w14:paraId="60F7F56A" w14:textId="7D02583E" w:rsidR="0049367B" w:rsidRDefault="0049367B">
      <w:pPr>
        <w:spacing w:after="160" w:line="259" w:lineRule="auto"/>
        <w:rPr>
          <w:rFonts w:eastAsia="Times New Roman"/>
          <w:color w:val="000000"/>
          <w:shd w:val="clear" w:color="auto" w:fill="FFFFFF"/>
          <w:lang w:val="ru-RU"/>
        </w:rPr>
      </w:pPr>
      <w:r>
        <w:rPr>
          <w:rFonts w:eastAsia="Times New Roman"/>
          <w:color w:val="000000"/>
          <w:shd w:val="clear" w:color="auto" w:fill="FFFFFF"/>
          <w:lang w:val="ru-RU"/>
        </w:rPr>
        <w:br w:type="page"/>
      </w:r>
    </w:p>
    <w:p w14:paraId="5E00492B" w14:textId="77777777" w:rsidR="0049367B" w:rsidRDefault="0049367B" w:rsidP="00967376">
      <w:pPr>
        <w:spacing w:after="160" w:line="259" w:lineRule="auto"/>
        <w:rPr>
          <w:rFonts w:eastAsia="Times New Roman"/>
          <w:color w:val="000000"/>
          <w:shd w:val="clear" w:color="auto" w:fill="FFFFFF"/>
          <w:lang w:val="ru-RU"/>
        </w:rPr>
      </w:pPr>
    </w:p>
    <w:p w14:paraId="32C051D7" w14:textId="77777777" w:rsidR="0049367B" w:rsidRDefault="0049367B" w:rsidP="0049367B">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967376">
        <w:rPr>
          <w:rFonts w:eastAsia="Times New Roman"/>
          <w:b/>
          <w:bCs/>
          <w:color w:val="000000"/>
          <w:shd w:val="clear" w:color="auto" w:fill="FFFFFF"/>
          <w:lang w:val="ru-RU"/>
        </w:rPr>
        <w:t xml:space="preserve">ВОПРОС </w:t>
      </w:r>
      <w:r>
        <w:rPr>
          <w:rFonts w:eastAsia="Times New Roman"/>
          <w:b/>
          <w:bCs/>
          <w:color w:val="000000"/>
          <w:shd w:val="clear" w:color="auto" w:fill="FFFFFF"/>
          <w:lang w:val="ru-RU"/>
        </w:rPr>
        <w:t>7</w:t>
      </w:r>
      <w:r w:rsidRPr="00967376">
        <w:rPr>
          <w:rFonts w:eastAsia="Times New Roman"/>
          <w:b/>
          <w:bCs/>
          <w:color w:val="000000"/>
          <w:shd w:val="clear" w:color="auto" w:fill="FFFFFF"/>
          <w:lang w:val="ru-RU"/>
        </w:rPr>
        <w:t xml:space="preserve">. </w:t>
      </w:r>
      <w:proofErr w:type="spellStart"/>
      <w:r w:rsidRPr="0049367B">
        <w:rPr>
          <w:rFonts w:eastAsia="Times New Roman"/>
          <w:b/>
          <w:bCs/>
          <w:color w:val="000000"/>
          <w:shd w:val="clear" w:color="auto" w:fill="FFFFFF"/>
          <w:lang w:val="ru-RU"/>
        </w:rPr>
        <w:t>Нэлля</w:t>
      </w:r>
      <w:proofErr w:type="spellEnd"/>
      <w:r w:rsidRPr="0049367B">
        <w:rPr>
          <w:rFonts w:eastAsia="Times New Roman"/>
          <w:b/>
          <w:bCs/>
          <w:color w:val="000000"/>
          <w:shd w:val="clear" w:color="auto" w:fill="FFFFFF"/>
          <w:lang w:val="ru-RU"/>
        </w:rPr>
        <w:t xml:space="preserve"> Николаевна Г.</w:t>
      </w:r>
    </w:p>
    <w:p w14:paraId="7DA40919" w14:textId="0201A487" w:rsidR="0049367B" w:rsidRPr="00967376" w:rsidRDefault="0049367B" w:rsidP="0049367B">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9367B">
        <w:rPr>
          <w:rFonts w:eastAsia="Times New Roman"/>
          <w:color w:val="000000"/>
          <w:shd w:val="clear" w:color="auto" w:fill="FFFFFF"/>
          <w:lang w:val="ru-RU"/>
        </w:rPr>
        <w:t>С вступлением в силу нового ФСБУ 4/2023 как изменился для СО НКО состав форм бухгалтерской отчетности за 2025 год?</w:t>
      </w:r>
    </w:p>
    <w:p w14:paraId="3730A36D" w14:textId="77777777" w:rsidR="0049367B" w:rsidRPr="0049367B" w:rsidRDefault="0049367B" w:rsidP="00967376">
      <w:pPr>
        <w:spacing w:after="160" w:line="259" w:lineRule="auto"/>
        <w:rPr>
          <w:rFonts w:eastAsia="Times New Roman"/>
          <w:color w:val="000000"/>
          <w:shd w:val="clear" w:color="auto" w:fill="FFFFFF"/>
        </w:rPr>
      </w:pPr>
    </w:p>
    <w:p w14:paraId="438BB584" w14:textId="77777777" w:rsidR="00967376" w:rsidRPr="00967376" w:rsidRDefault="00967376" w:rsidP="00967376">
      <w:pPr>
        <w:pStyle w:val="2"/>
        <w:rPr>
          <w:rFonts w:eastAsia="Times New Roman"/>
        </w:rPr>
      </w:pPr>
      <w:r w:rsidRPr="00967376">
        <w:rPr>
          <w:rFonts w:eastAsia="Times New Roman"/>
        </w:rPr>
        <w:t>Состав бухгалтерской отчетности некоммерческих организаций</w:t>
      </w:r>
    </w:p>
    <w:p w14:paraId="61BF6E54" w14:textId="77777777" w:rsidR="00967376" w:rsidRPr="00967376" w:rsidRDefault="00967376" w:rsidP="00967376">
      <w:pPr>
        <w:ind w:right="3"/>
        <w:jc w:val="both"/>
      </w:pPr>
      <w:r w:rsidRPr="00967376">
        <w:rPr>
          <w:rFonts w:eastAsia="Times New Roman"/>
        </w:rPr>
        <w:t xml:space="preserve">Начиная с 2025 г. </w:t>
      </w:r>
      <w:r w:rsidRPr="00967376">
        <w:t>НКО формируют годовую бухгалтерскую отчетность, состоящую из бухгалтерского баланса, отчета о целевом использовании средств и приложений к ним (</w:t>
      </w:r>
      <w:r w:rsidRPr="00967376">
        <w:rPr>
          <w:highlight w:val="yellow"/>
        </w:rPr>
        <w:t xml:space="preserve">ч. 2 ст. 14 Закона о бухгалтерском учете, </w:t>
      </w:r>
      <w:proofErr w:type="spellStart"/>
      <w:r w:rsidRPr="00967376">
        <w:rPr>
          <w:highlight w:val="yellow"/>
        </w:rPr>
        <w:t>пп</w:t>
      </w:r>
      <w:proofErr w:type="spellEnd"/>
      <w:r w:rsidRPr="00967376">
        <w:rPr>
          <w:highlight w:val="yellow"/>
        </w:rPr>
        <w:t>. "б" п. 5 ФСБУ 4/2023</w:t>
      </w:r>
      <w:r w:rsidRPr="00967376">
        <w:t>).</w:t>
      </w:r>
    </w:p>
    <w:p w14:paraId="07F88381" w14:textId="77777777" w:rsidR="00967376" w:rsidRPr="00967376" w:rsidRDefault="00967376" w:rsidP="00967376">
      <w:pPr>
        <w:ind w:right="3"/>
        <w:jc w:val="both"/>
      </w:pPr>
      <w:r w:rsidRPr="00967376">
        <w:t xml:space="preserve">Отчетность составляют по формам, определенным на основе образцов, которые приведены в </w:t>
      </w:r>
      <w:r w:rsidRPr="00967376">
        <w:rPr>
          <w:highlight w:val="yellow"/>
        </w:rPr>
        <w:t>Приложениях №№ 3, 5, 7, 8 к ФСБУ 4/2023</w:t>
      </w:r>
      <w:r w:rsidRPr="00967376">
        <w:t>. Представляют отчетность в налоговый орган по месту нахождения НКО.</w:t>
      </w:r>
    </w:p>
    <w:p w14:paraId="63D9B06C" w14:textId="77777777" w:rsidR="00967376" w:rsidRPr="00967376" w:rsidRDefault="00967376" w:rsidP="00967376">
      <w:pPr>
        <w:ind w:right="3"/>
        <w:jc w:val="both"/>
      </w:pPr>
      <w:r w:rsidRPr="00967376">
        <w:t xml:space="preserve">Право на применение упрощенных способов ведения бухучета, включая упрощенную бухгалтерскую отчетность, имеют все НКО, за исключением тех, которые указаны в </w:t>
      </w:r>
      <w:r w:rsidRPr="00967376">
        <w:rPr>
          <w:highlight w:val="yellow"/>
        </w:rPr>
        <w:t>части 5 статьи 6 Закона от 06.12.2011 № 402-ФЗ.</w:t>
      </w:r>
    </w:p>
    <w:p w14:paraId="315200CB" w14:textId="77777777" w:rsidR="00967376" w:rsidRPr="00967376" w:rsidRDefault="00967376" w:rsidP="00967376">
      <w:pPr>
        <w:ind w:right="3"/>
        <w:jc w:val="both"/>
      </w:pPr>
      <w:r w:rsidRPr="00967376">
        <w:t xml:space="preserve">Образцы упрощенной бухгалтерской отчетности приведены в </w:t>
      </w:r>
      <w:r w:rsidRPr="00967376">
        <w:rPr>
          <w:highlight w:val="yellow"/>
        </w:rPr>
        <w:t>Приложении №9 к ФСБУ 4/2023</w:t>
      </w:r>
      <w:r w:rsidRPr="00967376">
        <w:t xml:space="preserve">. </w:t>
      </w:r>
    </w:p>
    <w:p w14:paraId="70CBA8DD" w14:textId="77777777" w:rsidR="00FE007B" w:rsidRDefault="00FE007B" w:rsidP="00967376">
      <w:pPr>
        <w:ind w:right="3"/>
        <w:jc w:val="both"/>
        <w:rPr>
          <w:lang w:val="ru-RU"/>
        </w:rPr>
      </w:pPr>
    </w:p>
    <w:p w14:paraId="59BB35DB" w14:textId="24EB453B" w:rsidR="00967376" w:rsidRPr="00967376" w:rsidRDefault="00967376" w:rsidP="00967376">
      <w:pPr>
        <w:ind w:right="3"/>
        <w:jc w:val="both"/>
      </w:pPr>
      <w:r w:rsidRPr="00967376">
        <w:t>Приложения к бухгалтерскому балансу и отчету о целевом использовании средств состоят из отчета о финансовых результатах, отчета о движении денежных средств, пояснений к бухгалтерскому балансу и отчету о целевом использовании средств, за исключением случая, когда НКО принимает решение не составлять отчет о финансовых результатах и (или) отчет о движении денежных средств.</w:t>
      </w:r>
    </w:p>
    <w:p w14:paraId="7E0DF336" w14:textId="77777777" w:rsidR="00967376" w:rsidRPr="00967376" w:rsidRDefault="00967376" w:rsidP="00967376">
      <w:pPr>
        <w:ind w:right="3"/>
        <w:jc w:val="both"/>
      </w:pPr>
      <w:r w:rsidRPr="00967376">
        <w:t>В случае, когда НКО приняла решение не составлять отчет о финансовых результатах и (или) отчет о движении денежных средств, информация, подлежащая раскрытию в таких отчетах, включается в пояснения к бухгалтерскому балансу и отчету о целевом использовании средств (</w:t>
      </w:r>
      <w:r w:rsidRPr="00967376">
        <w:rPr>
          <w:highlight w:val="yellow"/>
        </w:rPr>
        <w:t>п. 6 ФСБУ 4/2023)</w:t>
      </w:r>
    </w:p>
    <w:p w14:paraId="78386AF4" w14:textId="77777777" w:rsidR="00967376" w:rsidRPr="00967376" w:rsidRDefault="00967376" w:rsidP="00967376">
      <w:pPr>
        <w:ind w:right="3"/>
      </w:pPr>
    </w:p>
    <w:p w14:paraId="276C1B16" w14:textId="5E6F42FD" w:rsidR="00967376" w:rsidRDefault="00967376">
      <w:pPr>
        <w:spacing w:after="160" w:line="259" w:lineRule="auto"/>
        <w:rPr>
          <w:rFonts w:eastAsia="Times New Roman"/>
          <w:sz w:val="24"/>
          <w:szCs w:val="24"/>
          <w:lang w:val="ru-RU"/>
        </w:rPr>
      </w:pPr>
      <w:r>
        <w:br w:type="page"/>
      </w:r>
    </w:p>
    <w:p w14:paraId="6D69BBF3" w14:textId="77777777" w:rsidR="00967376" w:rsidRPr="00967376" w:rsidRDefault="00967376" w:rsidP="00967376">
      <w:pPr>
        <w:pStyle w:val="a6"/>
        <w:spacing w:line="276" w:lineRule="auto"/>
        <w:rPr>
          <w:rFonts w:ascii="Arial" w:hAnsi="Arial" w:cs="Arial"/>
        </w:rPr>
      </w:pPr>
    </w:p>
    <w:tbl>
      <w:tblPr>
        <w:tblW w:w="5179" w:type="pct"/>
        <w:tblCellMar>
          <w:top w:w="75" w:type="dxa"/>
          <w:left w:w="150" w:type="dxa"/>
          <w:bottom w:w="75" w:type="dxa"/>
          <w:right w:w="150" w:type="dxa"/>
        </w:tblCellMar>
        <w:tblLook w:val="04A0" w:firstRow="1" w:lastRow="0" w:firstColumn="1" w:lastColumn="0" w:noHBand="0" w:noVBand="1"/>
      </w:tblPr>
      <w:tblGrid>
        <w:gridCol w:w="2966"/>
        <w:gridCol w:w="36"/>
        <w:gridCol w:w="6354"/>
        <w:gridCol w:w="334"/>
      </w:tblGrid>
      <w:tr w:rsidR="00967376" w:rsidRPr="00967376" w14:paraId="0B1B3A04" w14:textId="77777777" w:rsidTr="00C229C3">
        <w:trPr>
          <w:gridAfter w:val="1"/>
          <w:wAfter w:w="334" w:type="dxa"/>
          <w:tblHeader/>
        </w:trPr>
        <w:tc>
          <w:tcPr>
            <w:tcW w:w="2966" w:type="dxa"/>
            <w:vAlign w:val="center"/>
            <w:hideMark/>
          </w:tcPr>
          <w:p w14:paraId="7957EBFD" w14:textId="77777777" w:rsidR="00967376" w:rsidRPr="00967376" w:rsidRDefault="00967376" w:rsidP="00C229C3">
            <w:pPr>
              <w:pStyle w:val="a6"/>
              <w:rPr>
                <w:rFonts w:ascii="Arial" w:hAnsi="Arial" w:cs="Arial"/>
                <w:b/>
                <w:bCs/>
              </w:rPr>
            </w:pPr>
            <w:r w:rsidRPr="00967376">
              <w:rPr>
                <w:rFonts w:ascii="Arial" w:hAnsi="Arial" w:cs="Arial"/>
                <w:b/>
                <w:bCs/>
              </w:rPr>
              <w:t>Форма</w:t>
            </w:r>
          </w:p>
        </w:tc>
        <w:tc>
          <w:tcPr>
            <w:tcW w:w="6390" w:type="dxa"/>
            <w:gridSpan w:val="2"/>
            <w:vAlign w:val="center"/>
            <w:hideMark/>
          </w:tcPr>
          <w:p w14:paraId="3D053050" w14:textId="77777777" w:rsidR="00967376" w:rsidRPr="00967376" w:rsidRDefault="00967376" w:rsidP="00C229C3">
            <w:pPr>
              <w:pStyle w:val="a6"/>
              <w:rPr>
                <w:rFonts w:ascii="Arial" w:hAnsi="Arial" w:cs="Arial"/>
                <w:b/>
                <w:bCs/>
              </w:rPr>
            </w:pPr>
            <w:r w:rsidRPr="00967376">
              <w:rPr>
                <w:rFonts w:ascii="Arial" w:hAnsi="Arial" w:cs="Arial"/>
                <w:b/>
                <w:bCs/>
              </w:rPr>
              <w:t>Кто сдает</w:t>
            </w:r>
          </w:p>
        </w:tc>
      </w:tr>
      <w:tr w:rsidR="00967376" w:rsidRPr="00967376" w14:paraId="6A39333C" w14:textId="77777777" w:rsidTr="00C229C3">
        <w:trPr>
          <w:gridAfter w:val="1"/>
          <w:wAfter w:w="334" w:type="dxa"/>
        </w:trPr>
        <w:tc>
          <w:tcPr>
            <w:tcW w:w="2966" w:type="dxa"/>
            <w:tcBorders>
              <w:top w:val="single" w:sz="6" w:space="0" w:color="000000"/>
              <w:bottom w:val="single" w:sz="6" w:space="0" w:color="000000"/>
            </w:tcBorders>
            <w:vAlign w:val="center"/>
            <w:hideMark/>
          </w:tcPr>
          <w:p w14:paraId="2E8D73D6" w14:textId="77777777" w:rsidR="00967376" w:rsidRPr="00967376" w:rsidRDefault="00967376" w:rsidP="00C229C3">
            <w:pPr>
              <w:pStyle w:val="a6"/>
              <w:rPr>
                <w:rFonts w:ascii="Arial" w:hAnsi="Arial" w:cs="Arial"/>
              </w:rPr>
            </w:pPr>
            <w:hyperlink r:id="rId5" w:anchor="/document/16/186413/" w:history="1">
              <w:r w:rsidRPr="00967376">
                <w:rPr>
                  <w:rStyle w:val="a3"/>
                  <w:rFonts w:ascii="Arial" w:hAnsi="Arial" w:cs="Arial"/>
                </w:rPr>
                <w:t>Бухгалтерский баланс</w:t>
              </w:r>
            </w:hyperlink>
          </w:p>
        </w:tc>
        <w:tc>
          <w:tcPr>
            <w:tcW w:w="6390" w:type="dxa"/>
            <w:gridSpan w:val="2"/>
            <w:tcBorders>
              <w:top w:val="single" w:sz="6" w:space="0" w:color="000000"/>
              <w:bottom w:val="single" w:sz="6" w:space="0" w:color="000000"/>
            </w:tcBorders>
            <w:hideMark/>
          </w:tcPr>
          <w:p w14:paraId="03A19E0E" w14:textId="77777777" w:rsidR="00967376" w:rsidRPr="00967376" w:rsidRDefault="00967376" w:rsidP="00C229C3">
            <w:pPr>
              <w:pStyle w:val="a6"/>
              <w:rPr>
                <w:rFonts w:ascii="Arial" w:hAnsi="Arial" w:cs="Arial"/>
              </w:rPr>
            </w:pPr>
            <w:r w:rsidRPr="00967376">
              <w:rPr>
                <w:rFonts w:ascii="Arial" w:hAnsi="Arial" w:cs="Arial"/>
              </w:rPr>
              <w:t xml:space="preserve">Все НКО, которые не имеют права на предоставление бухгалтерской отчётности в упрощённой форме, а также те НКО, которые добровольно отказались от предоставления бухгалтерской отчётности в упрощённой форме, по образцу, приведенному в </w:t>
            </w:r>
            <w:r w:rsidRPr="00967376">
              <w:rPr>
                <w:rFonts w:ascii="Arial" w:hAnsi="Arial" w:cs="Arial"/>
                <w:highlight w:val="yellow"/>
              </w:rPr>
              <w:t>Приложении №3 к ФСБУ 4/2023</w:t>
            </w:r>
          </w:p>
        </w:tc>
      </w:tr>
      <w:tr w:rsidR="00967376" w:rsidRPr="00967376" w14:paraId="32061895" w14:textId="77777777" w:rsidTr="00C229C3">
        <w:trPr>
          <w:gridAfter w:val="1"/>
          <w:wAfter w:w="334" w:type="dxa"/>
        </w:trPr>
        <w:tc>
          <w:tcPr>
            <w:tcW w:w="2966" w:type="dxa"/>
            <w:tcBorders>
              <w:top w:val="single" w:sz="6" w:space="0" w:color="000000"/>
              <w:bottom w:val="single" w:sz="6" w:space="0" w:color="000000"/>
            </w:tcBorders>
            <w:vAlign w:val="center"/>
            <w:hideMark/>
          </w:tcPr>
          <w:p w14:paraId="2F6F6ED2" w14:textId="77777777" w:rsidR="00967376" w:rsidRPr="00967376" w:rsidRDefault="00967376" w:rsidP="00C229C3">
            <w:pPr>
              <w:pStyle w:val="a6"/>
              <w:rPr>
                <w:rFonts w:ascii="Arial" w:hAnsi="Arial" w:cs="Arial"/>
              </w:rPr>
            </w:pPr>
            <w:hyperlink r:id="rId6" w:anchor="/document/99/902226603/XA00M9U2ND/" w:history="1">
              <w:r w:rsidRPr="00967376">
                <w:rPr>
                  <w:rStyle w:val="a3"/>
                  <w:rFonts w:ascii="Arial" w:hAnsi="Arial" w:cs="Arial"/>
                </w:rPr>
                <w:t>Бухгалтерский баланс (упрощенная форма)</w:t>
              </w:r>
            </w:hyperlink>
          </w:p>
        </w:tc>
        <w:tc>
          <w:tcPr>
            <w:tcW w:w="6390" w:type="dxa"/>
            <w:gridSpan w:val="2"/>
            <w:tcBorders>
              <w:top w:val="single" w:sz="6" w:space="0" w:color="000000"/>
              <w:bottom w:val="single" w:sz="6" w:space="0" w:color="000000"/>
            </w:tcBorders>
            <w:hideMark/>
          </w:tcPr>
          <w:p w14:paraId="60FB48F3" w14:textId="77777777" w:rsidR="00967376" w:rsidRPr="00967376" w:rsidRDefault="00967376" w:rsidP="00C229C3">
            <w:pPr>
              <w:pStyle w:val="a6"/>
              <w:rPr>
                <w:rFonts w:ascii="Arial" w:hAnsi="Arial" w:cs="Arial"/>
              </w:rPr>
            </w:pPr>
            <w:r w:rsidRPr="00967376">
              <w:rPr>
                <w:rFonts w:ascii="Arial" w:hAnsi="Arial" w:cs="Arial"/>
              </w:rPr>
              <w:t xml:space="preserve">НКО, имеющие право на предоставление бухгалтерской отчётности в упрощённой форме, по образцу, приведенному в </w:t>
            </w:r>
            <w:r w:rsidRPr="00967376">
              <w:rPr>
                <w:rFonts w:ascii="Arial" w:hAnsi="Arial" w:cs="Arial"/>
                <w:highlight w:val="yellow"/>
              </w:rPr>
              <w:t>Приложении №9 к ФСБУ 4/2023</w:t>
            </w:r>
            <w:r w:rsidRPr="00967376">
              <w:rPr>
                <w:rFonts w:ascii="Arial" w:hAnsi="Arial" w:cs="Arial"/>
              </w:rPr>
              <w:t xml:space="preserve">. </w:t>
            </w:r>
          </w:p>
          <w:p w14:paraId="232A8A3D" w14:textId="77777777" w:rsidR="00967376" w:rsidRPr="00967376" w:rsidRDefault="00967376" w:rsidP="00C229C3">
            <w:pPr>
              <w:pStyle w:val="a6"/>
              <w:rPr>
                <w:rFonts w:ascii="Arial" w:hAnsi="Arial" w:cs="Arial"/>
              </w:rPr>
            </w:pPr>
            <w:r w:rsidRPr="00967376">
              <w:rPr>
                <w:rFonts w:ascii="Arial" w:hAnsi="Arial" w:cs="Arial"/>
              </w:rPr>
              <w:t xml:space="preserve">Можно отказаться от этого права и представить данный отчёт по полной форме, по образцу, приведенному в </w:t>
            </w:r>
            <w:r w:rsidRPr="00967376">
              <w:rPr>
                <w:rFonts w:ascii="Arial" w:hAnsi="Arial" w:cs="Arial"/>
                <w:highlight w:val="yellow"/>
              </w:rPr>
              <w:t>Приложении №3 к ФСБУ 4/2023</w:t>
            </w:r>
            <w:r w:rsidRPr="00967376">
              <w:rPr>
                <w:rFonts w:ascii="Arial" w:hAnsi="Arial" w:cs="Arial"/>
              </w:rPr>
              <w:t>.</w:t>
            </w:r>
          </w:p>
        </w:tc>
      </w:tr>
      <w:tr w:rsidR="00967376" w:rsidRPr="00967376" w14:paraId="32C8D787" w14:textId="77777777" w:rsidTr="00C229C3">
        <w:trPr>
          <w:gridAfter w:val="1"/>
          <w:wAfter w:w="334" w:type="dxa"/>
        </w:trPr>
        <w:tc>
          <w:tcPr>
            <w:tcW w:w="2966" w:type="dxa"/>
            <w:tcBorders>
              <w:top w:val="single" w:sz="6" w:space="0" w:color="000000"/>
              <w:bottom w:val="single" w:sz="6" w:space="0" w:color="000000"/>
            </w:tcBorders>
            <w:hideMark/>
          </w:tcPr>
          <w:p w14:paraId="2EE9DE7A" w14:textId="77777777" w:rsidR="00967376" w:rsidRPr="00967376" w:rsidRDefault="00967376" w:rsidP="00C229C3">
            <w:pPr>
              <w:pStyle w:val="a6"/>
              <w:rPr>
                <w:rFonts w:ascii="Arial" w:hAnsi="Arial" w:cs="Arial"/>
              </w:rPr>
            </w:pPr>
            <w:hyperlink r:id="rId7" w:anchor="/document/99/902226603/ZAP1V783DG/" w:history="1">
              <w:r w:rsidRPr="00967376">
                <w:rPr>
                  <w:rStyle w:val="a3"/>
                  <w:rFonts w:ascii="Arial" w:hAnsi="Arial" w:cs="Arial"/>
                </w:rPr>
                <w:t>Отчет о целевом использовании средств</w:t>
              </w:r>
            </w:hyperlink>
          </w:p>
        </w:tc>
        <w:tc>
          <w:tcPr>
            <w:tcW w:w="6390" w:type="dxa"/>
            <w:gridSpan w:val="2"/>
            <w:tcBorders>
              <w:top w:val="single" w:sz="6" w:space="0" w:color="000000"/>
              <w:bottom w:val="single" w:sz="6" w:space="0" w:color="000000"/>
            </w:tcBorders>
            <w:hideMark/>
          </w:tcPr>
          <w:p w14:paraId="5D08B9B2" w14:textId="77777777" w:rsidR="00967376" w:rsidRPr="00967376" w:rsidRDefault="00967376" w:rsidP="00C229C3">
            <w:pPr>
              <w:pStyle w:val="a6"/>
              <w:rPr>
                <w:rFonts w:ascii="Arial" w:hAnsi="Arial" w:cs="Arial"/>
              </w:rPr>
            </w:pPr>
            <w:r w:rsidRPr="00967376">
              <w:rPr>
                <w:rFonts w:ascii="Arial" w:hAnsi="Arial" w:cs="Arial"/>
              </w:rPr>
              <w:t xml:space="preserve">Все НКО, которые не имеют права на предоставление бухгалтерской отчётности в упрощённой форме, а также те НКО, которые добровольно отказались от предоставления бухгалтерской отчётности в упрощённой форме, по образцу, приведенному в </w:t>
            </w:r>
            <w:r w:rsidRPr="00967376">
              <w:rPr>
                <w:rFonts w:ascii="Arial" w:hAnsi="Arial" w:cs="Arial"/>
                <w:highlight w:val="yellow"/>
              </w:rPr>
              <w:t>Приложении №5 к ФСБУ 4/2023</w:t>
            </w:r>
          </w:p>
        </w:tc>
      </w:tr>
      <w:tr w:rsidR="00967376" w:rsidRPr="00967376" w14:paraId="42FDC62E" w14:textId="77777777" w:rsidTr="00C229C3">
        <w:trPr>
          <w:gridAfter w:val="1"/>
          <w:wAfter w:w="334" w:type="dxa"/>
        </w:trPr>
        <w:tc>
          <w:tcPr>
            <w:tcW w:w="2966" w:type="dxa"/>
            <w:tcBorders>
              <w:top w:val="single" w:sz="6" w:space="0" w:color="000000"/>
              <w:bottom w:val="single" w:sz="6" w:space="0" w:color="000000"/>
            </w:tcBorders>
            <w:hideMark/>
          </w:tcPr>
          <w:p w14:paraId="5E01252A" w14:textId="77777777" w:rsidR="00967376" w:rsidRPr="00967376" w:rsidRDefault="00967376" w:rsidP="00C229C3">
            <w:pPr>
              <w:pStyle w:val="a6"/>
              <w:rPr>
                <w:rFonts w:ascii="Arial" w:hAnsi="Arial" w:cs="Arial"/>
              </w:rPr>
            </w:pPr>
            <w:hyperlink r:id="rId8" w:anchor="/document/99/902226603/ZAP1V783DG/" w:history="1">
              <w:r w:rsidRPr="00967376">
                <w:rPr>
                  <w:rStyle w:val="a3"/>
                  <w:rFonts w:ascii="Arial" w:hAnsi="Arial" w:cs="Arial"/>
                </w:rPr>
                <w:t>Отчет о целевом использовании средств (упрощенная форма)</w:t>
              </w:r>
            </w:hyperlink>
          </w:p>
        </w:tc>
        <w:tc>
          <w:tcPr>
            <w:tcW w:w="6390" w:type="dxa"/>
            <w:gridSpan w:val="2"/>
            <w:tcBorders>
              <w:top w:val="single" w:sz="6" w:space="0" w:color="000000"/>
              <w:bottom w:val="single" w:sz="6" w:space="0" w:color="000000"/>
            </w:tcBorders>
            <w:hideMark/>
          </w:tcPr>
          <w:p w14:paraId="6CFBB544" w14:textId="77777777" w:rsidR="00967376" w:rsidRPr="00967376" w:rsidRDefault="00967376" w:rsidP="00C229C3">
            <w:r w:rsidRPr="00967376">
              <w:t xml:space="preserve">НКО, имеющие право на предоставление бухгалтерской отчётности в упрощённой форме, по образцу, приведенному в </w:t>
            </w:r>
            <w:r w:rsidRPr="00967376">
              <w:rPr>
                <w:highlight w:val="yellow"/>
              </w:rPr>
              <w:t>Приложении №9 к ФСБУ 4/2023</w:t>
            </w:r>
            <w:r w:rsidRPr="00967376">
              <w:t xml:space="preserve">. </w:t>
            </w:r>
          </w:p>
          <w:p w14:paraId="0F65D8F5" w14:textId="77777777" w:rsidR="00967376" w:rsidRPr="00967376" w:rsidRDefault="00967376" w:rsidP="00C229C3"/>
          <w:p w14:paraId="5140EE2B" w14:textId="77777777" w:rsidR="00967376" w:rsidRPr="00967376" w:rsidRDefault="00967376" w:rsidP="00C229C3">
            <w:pPr>
              <w:rPr>
                <w:rFonts w:eastAsia="Times New Roman"/>
              </w:rPr>
            </w:pPr>
            <w:r w:rsidRPr="00967376">
              <w:rPr>
                <w:rFonts w:eastAsia="Times New Roman"/>
              </w:rPr>
              <w:t xml:space="preserve">Можно отказаться от этого права и представить данный отчёт по полной форме, по образцу, приведенному в </w:t>
            </w:r>
            <w:r w:rsidRPr="00967376">
              <w:rPr>
                <w:rFonts w:eastAsia="Times New Roman"/>
                <w:highlight w:val="yellow"/>
              </w:rPr>
              <w:t>Приложении №5 к ФСБУ 4/2023.</w:t>
            </w:r>
          </w:p>
        </w:tc>
      </w:tr>
      <w:tr w:rsidR="00967376" w:rsidRPr="00967376" w14:paraId="304FEFAE" w14:textId="77777777" w:rsidTr="00C229C3">
        <w:tc>
          <w:tcPr>
            <w:tcW w:w="3002" w:type="dxa"/>
            <w:gridSpan w:val="2"/>
            <w:tcBorders>
              <w:top w:val="single" w:sz="6" w:space="0" w:color="000000"/>
              <w:bottom w:val="single" w:sz="6" w:space="0" w:color="000000"/>
            </w:tcBorders>
            <w:hideMark/>
          </w:tcPr>
          <w:p w14:paraId="1CA8B565" w14:textId="77777777" w:rsidR="00967376" w:rsidRPr="00967376" w:rsidRDefault="00967376" w:rsidP="00C229C3">
            <w:pPr>
              <w:pStyle w:val="a6"/>
              <w:rPr>
                <w:rFonts w:ascii="Arial" w:hAnsi="Arial" w:cs="Arial"/>
              </w:rPr>
            </w:pPr>
            <w:hyperlink r:id="rId9" w:anchor="/document/16/186417/" w:history="1">
              <w:r w:rsidRPr="00967376">
                <w:rPr>
                  <w:rStyle w:val="a3"/>
                  <w:rFonts w:ascii="Arial" w:hAnsi="Arial" w:cs="Arial"/>
                </w:rPr>
                <w:t>Отчет о финансовых результатах</w:t>
              </w:r>
            </w:hyperlink>
          </w:p>
        </w:tc>
        <w:tc>
          <w:tcPr>
            <w:tcW w:w="6688" w:type="dxa"/>
            <w:gridSpan w:val="2"/>
            <w:tcBorders>
              <w:top w:val="single" w:sz="6" w:space="0" w:color="000000"/>
              <w:bottom w:val="single" w:sz="6" w:space="0" w:color="000000"/>
            </w:tcBorders>
            <w:hideMark/>
          </w:tcPr>
          <w:p w14:paraId="0F439FA3" w14:textId="77777777" w:rsidR="00967376" w:rsidRPr="00967376" w:rsidRDefault="00967376" w:rsidP="00C229C3">
            <w:pPr>
              <w:pStyle w:val="a6"/>
              <w:rPr>
                <w:rFonts w:ascii="Arial" w:hAnsi="Arial" w:cs="Arial"/>
              </w:rPr>
            </w:pPr>
            <w:r w:rsidRPr="00967376">
              <w:rPr>
                <w:rFonts w:ascii="Arial" w:hAnsi="Arial" w:cs="Arial"/>
              </w:rPr>
              <w:t xml:space="preserve">Все НКО, которые не имеют права на предоставление бухгалтерской отчётности в упрощённой форме, а также те НКО, которые добровольно отказались от предоставления бухгалтерской отчётности в упрощённой форме, за исключением случая, когда НКО принимает решение не составлять отчет о финансовых результатах, по образцу, приведенному в </w:t>
            </w:r>
            <w:r w:rsidRPr="00967376">
              <w:rPr>
                <w:rFonts w:ascii="Arial" w:hAnsi="Arial" w:cs="Arial"/>
                <w:highlight w:val="yellow"/>
              </w:rPr>
              <w:t>Приложении № 4 к ФСБУ 4/2023</w:t>
            </w:r>
            <w:r w:rsidRPr="00967376">
              <w:rPr>
                <w:rFonts w:ascii="Arial" w:hAnsi="Arial" w:cs="Arial"/>
              </w:rPr>
              <w:t>.</w:t>
            </w:r>
          </w:p>
        </w:tc>
      </w:tr>
      <w:tr w:rsidR="00967376" w:rsidRPr="00967376" w14:paraId="38341680" w14:textId="77777777" w:rsidTr="00C229C3">
        <w:trPr>
          <w:gridAfter w:val="1"/>
          <w:wAfter w:w="334" w:type="dxa"/>
        </w:trPr>
        <w:tc>
          <w:tcPr>
            <w:tcW w:w="2966" w:type="dxa"/>
            <w:tcBorders>
              <w:top w:val="single" w:sz="6" w:space="0" w:color="000000"/>
              <w:bottom w:val="single" w:sz="6" w:space="0" w:color="000000"/>
            </w:tcBorders>
          </w:tcPr>
          <w:p w14:paraId="05AABA49" w14:textId="77777777" w:rsidR="00967376" w:rsidRPr="00967376" w:rsidRDefault="00967376" w:rsidP="00C229C3">
            <w:pPr>
              <w:pStyle w:val="a6"/>
              <w:rPr>
                <w:rFonts w:ascii="Arial" w:hAnsi="Arial" w:cs="Arial"/>
              </w:rPr>
            </w:pPr>
            <w:r w:rsidRPr="00967376">
              <w:rPr>
                <w:rFonts w:ascii="Arial" w:hAnsi="Arial" w:cs="Arial"/>
              </w:rPr>
              <w:t>Отчет о движении денежных средств</w:t>
            </w:r>
          </w:p>
        </w:tc>
        <w:tc>
          <w:tcPr>
            <w:tcW w:w="6390" w:type="dxa"/>
            <w:gridSpan w:val="2"/>
            <w:tcBorders>
              <w:top w:val="single" w:sz="6" w:space="0" w:color="000000"/>
              <w:bottom w:val="single" w:sz="6" w:space="0" w:color="000000"/>
            </w:tcBorders>
          </w:tcPr>
          <w:p w14:paraId="01B92E5B" w14:textId="77777777" w:rsidR="00967376" w:rsidRPr="00967376" w:rsidRDefault="00967376" w:rsidP="00C229C3">
            <w:pPr>
              <w:pStyle w:val="a6"/>
              <w:rPr>
                <w:rFonts w:ascii="Arial" w:hAnsi="Arial" w:cs="Arial"/>
              </w:rPr>
            </w:pPr>
            <w:r w:rsidRPr="00967376">
              <w:rPr>
                <w:rFonts w:ascii="Arial" w:hAnsi="Arial" w:cs="Arial"/>
              </w:rPr>
              <w:t xml:space="preserve">Все НКО, которые не имеют права на предоставление бухгалтерской отчётности в упрощённой форме, а также те НКО, которые добровольно отказались от предоставления бухгалтерской отчётности в упрощённой форме, за исключением случая, когда НКО принимает решение не составлять отчет о движении денежных средств, </w:t>
            </w:r>
            <w:r w:rsidRPr="00967376">
              <w:rPr>
                <w:rFonts w:ascii="Arial" w:hAnsi="Arial" w:cs="Arial"/>
              </w:rPr>
              <w:lastRenderedPageBreak/>
              <w:t xml:space="preserve">по образцу, приведенному в </w:t>
            </w:r>
            <w:r w:rsidRPr="00967376">
              <w:rPr>
                <w:rFonts w:ascii="Arial" w:hAnsi="Arial" w:cs="Arial"/>
                <w:highlight w:val="yellow"/>
              </w:rPr>
              <w:t>Приложении № 7 к ФСБУ 4/2023</w:t>
            </w:r>
            <w:r w:rsidRPr="00967376">
              <w:rPr>
                <w:rFonts w:ascii="Arial" w:hAnsi="Arial" w:cs="Arial"/>
              </w:rPr>
              <w:t>.</w:t>
            </w:r>
          </w:p>
        </w:tc>
      </w:tr>
      <w:tr w:rsidR="00967376" w:rsidRPr="00967376" w14:paraId="517E8A0E" w14:textId="77777777" w:rsidTr="00C229C3">
        <w:trPr>
          <w:gridAfter w:val="1"/>
          <w:wAfter w:w="334" w:type="dxa"/>
        </w:trPr>
        <w:tc>
          <w:tcPr>
            <w:tcW w:w="2966" w:type="dxa"/>
            <w:tcBorders>
              <w:top w:val="single" w:sz="6" w:space="0" w:color="000000"/>
              <w:bottom w:val="single" w:sz="6" w:space="0" w:color="000000"/>
            </w:tcBorders>
            <w:hideMark/>
          </w:tcPr>
          <w:p w14:paraId="4150043E" w14:textId="77777777" w:rsidR="00967376" w:rsidRPr="00967376" w:rsidRDefault="00967376" w:rsidP="00C229C3">
            <w:pPr>
              <w:pStyle w:val="a6"/>
              <w:rPr>
                <w:rFonts w:ascii="Arial" w:hAnsi="Arial" w:cs="Arial"/>
              </w:rPr>
            </w:pPr>
            <w:hyperlink r:id="rId10" w:anchor="/document/16/186421/" w:history="1">
              <w:r w:rsidRPr="00967376">
                <w:rPr>
                  <w:rStyle w:val="a3"/>
                  <w:rFonts w:ascii="Arial" w:hAnsi="Arial" w:cs="Arial"/>
                </w:rPr>
                <w:t>Пояснения к Бухгалтерскому балансу и Отчету о целевом</w:t>
              </w:r>
            </w:hyperlink>
            <w:r w:rsidRPr="00967376">
              <w:rPr>
                <w:rFonts w:ascii="Arial" w:hAnsi="Arial" w:cs="Arial"/>
              </w:rPr>
              <w:t xml:space="preserve"> использовании средств (Пояснения)</w:t>
            </w:r>
          </w:p>
        </w:tc>
        <w:tc>
          <w:tcPr>
            <w:tcW w:w="6390" w:type="dxa"/>
            <w:gridSpan w:val="2"/>
            <w:tcBorders>
              <w:top w:val="single" w:sz="6" w:space="0" w:color="000000"/>
              <w:bottom w:val="single" w:sz="6" w:space="0" w:color="000000"/>
            </w:tcBorders>
            <w:hideMark/>
          </w:tcPr>
          <w:p w14:paraId="35BFA3E7" w14:textId="77777777" w:rsidR="00967376" w:rsidRPr="00967376" w:rsidRDefault="00967376" w:rsidP="00C229C3">
            <w:pPr>
              <w:pStyle w:val="a6"/>
              <w:rPr>
                <w:rFonts w:ascii="Arial" w:hAnsi="Arial" w:cs="Arial"/>
              </w:rPr>
            </w:pPr>
            <w:r w:rsidRPr="00967376">
              <w:rPr>
                <w:rFonts w:ascii="Arial" w:hAnsi="Arial" w:cs="Arial"/>
              </w:rPr>
              <w:t xml:space="preserve">Все НКО. </w:t>
            </w:r>
          </w:p>
          <w:p w14:paraId="13FFA58B" w14:textId="77777777" w:rsidR="00967376" w:rsidRPr="00967376" w:rsidRDefault="00967376" w:rsidP="00C229C3">
            <w:pPr>
              <w:pStyle w:val="a6"/>
              <w:rPr>
                <w:rFonts w:ascii="Arial" w:hAnsi="Arial" w:cs="Arial"/>
              </w:rPr>
            </w:pPr>
            <w:r w:rsidRPr="00967376">
              <w:rPr>
                <w:rFonts w:ascii="Arial" w:hAnsi="Arial" w:cs="Arial"/>
              </w:rPr>
              <w:t xml:space="preserve">НКО, имеющие право на предоставление бухгалтерской отчётности в упрощённой форме, также должны включать в состав бухгалтерской отчетности пояснения с учетом требований </w:t>
            </w:r>
            <w:r w:rsidRPr="00967376">
              <w:rPr>
                <w:rFonts w:ascii="Arial" w:hAnsi="Arial" w:cs="Arial"/>
                <w:highlight w:val="yellow"/>
              </w:rPr>
              <w:t>п.54 ФСБУ 4/2023.</w:t>
            </w:r>
          </w:p>
        </w:tc>
      </w:tr>
    </w:tbl>
    <w:p w14:paraId="7E831CA4" w14:textId="77777777" w:rsidR="00967376" w:rsidRPr="00967376" w:rsidRDefault="00967376" w:rsidP="00967376">
      <w:pPr>
        <w:pStyle w:val="a6"/>
        <w:spacing w:line="276" w:lineRule="auto"/>
        <w:rPr>
          <w:rFonts w:ascii="Arial" w:hAnsi="Arial" w:cs="Arial"/>
        </w:rPr>
      </w:pPr>
      <w:r w:rsidRPr="00967376">
        <w:rPr>
          <w:rFonts w:ascii="Arial" w:hAnsi="Arial" w:cs="Arial"/>
        </w:rPr>
        <w:t> </w:t>
      </w:r>
    </w:p>
    <w:p w14:paraId="06EEAC74" w14:textId="77777777" w:rsidR="00967376" w:rsidRPr="00967376" w:rsidRDefault="00967376" w:rsidP="00967376">
      <w:pPr>
        <w:rPr>
          <w:rFonts w:eastAsia="Times New Roman"/>
          <w:sz w:val="20"/>
          <w:szCs w:val="20"/>
        </w:rPr>
      </w:pPr>
    </w:p>
    <w:p w14:paraId="2BF8AE8C" w14:textId="40CCCE42" w:rsidR="00F20F6B" w:rsidRDefault="00F20F6B">
      <w:pPr>
        <w:spacing w:after="160" w:line="259" w:lineRule="auto"/>
        <w:rPr>
          <w:rFonts w:eastAsia="Times New Roman"/>
          <w:color w:val="000000"/>
          <w:shd w:val="clear" w:color="auto" w:fill="FFFFFF"/>
        </w:rPr>
      </w:pPr>
      <w:r>
        <w:rPr>
          <w:rFonts w:eastAsia="Times New Roman"/>
          <w:color w:val="000000"/>
          <w:shd w:val="clear" w:color="auto" w:fill="FFFFFF"/>
        </w:rPr>
        <w:br w:type="page"/>
      </w:r>
    </w:p>
    <w:p w14:paraId="1EA4DEA4" w14:textId="19A87843" w:rsidR="00F20F6B" w:rsidRPr="00F20F6B" w:rsidRDefault="00F20F6B" w:rsidP="00F20F6B">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F20F6B">
        <w:rPr>
          <w:rFonts w:eastAsia="Times New Roman"/>
          <w:b/>
          <w:bCs/>
          <w:color w:val="000000"/>
          <w:shd w:val="clear" w:color="auto" w:fill="FFFFFF"/>
          <w:lang w:val="ru-RU"/>
        </w:rPr>
        <w:lastRenderedPageBreak/>
        <w:t xml:space="preserve">ВОПРОС </w:t>
      </w:r>
      <w:r w:rsidRPr="00F20F6B">
        <w:rPr>
          <w:rFonts w:eastAsia="Times New Roman"/>
          <w:b/>
          <w:bCs/>
          <w:color w:val="000000"/>
          <w:shd w:val="clear" w:color="auto" w:fill="FFFFFF"/>
          <w:lang w:val="ru-RU"/>
        </w:rPr>
        <w:t>10. Ольга Вениаминовна А.</w:t>
      </w:r>
    </w:p>
    <w:p w14:paraId="646B95C8" w14:textId="77777777" w:rsidR="00F20F6B" w:rsidRDefault="00F20F6B" w:rsidP="005B4E69">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p>
    <w:p w14:paraId="6D5037A8" w14:textId="6F1A70F0" w:rsidR="00F20F6B" w:rsidRPr="00F20F6B" w:rsidRDefault="00F20F6B" w:rsidP="005B4E69">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F20F6B">
        <w:rPr>
          <w:rFonts w:eastAsia="Times New Roman"/>
          <w:color w:val="000000"/>
          <w:shd w:val="clear" w:color="auto" w:fill="FFFFFF"/>
          <w:lang w:val="ru-RU"/>
        </w:rPr>
        <w:t>НКО, режим налогообложения УСН (доходы), ведётся предпринимательская деятельность. Учредитель – юридическое лицо, передает в оперативное управление основные средства, такие как здание, вычислительная техника, прочее движимое имущество.</w:t>
      </w:r>
    </w:p>
    <w:p w14:paraId="39740F95" w14:textId="77777777" w:rsidR="00F20F6B" w:rsidRPr="00F20F6B" w:rsidRDefault="00F20F6B" w:rsidP="005B4E69">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F20F6B">
        <w:rPr>
          <w:rFonts w:eastAsia="Times New Roman"/>
          <w:color w:val="000000"/>
          <w:shd w:val="clear" w:color="auto" w:fill="FFFFFF"/>
          <w:lang w:val="ru-RU"/>
        </w:rPr>
        <w:t>Как НКО должно их учитывать для целей бухгалтерского и налогового учёта?</w:t>
      </w:r>
    </w:p>
    <w:p w14:paraId="0C1191A5" w14:textId="3486A22B" w:rsidR="00967376" w:rsidRDefault="00F20F6B" w:rsidP="005B4E69">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F20F6B">
        <w:rPr>
          <w:rFonts w:eastAsia="Times New Roman"/>
          <w:color w:val="000000"/>
          <w:shd w:val="clear" w:color="auto" w:fill="FFFFFF"/>
          <w:lang w:val="ru-RU"/>
        </w:rPr>
        <w:t>Какие особенности учёта таких основных средств?</w:t>
      </w:r>
    </w:p>
    <w:p w14:paraId="30C93F68" w14:textId="77777777" w:rsidR="005B4E69" w:rsidRDefault="005B4E69" w:rsidP="005B4E69">
      <w:pPr>
        <w:spacing w:after="160" w:line="259" w:lineRule="auto"/>
        <w:jc w:val="both"/>
        <w:rPr>
          <w:rFonts w:eastAsia="Times New Roman"/>
          <w:color w:val="000000"/>
          <w:shd w:val="clear" w:color="auto" w:fill="FFFFFF"/>
          <w:lang w:val="ru-RU"/>
        </w:rPr>
      </w:pPr>
    </w:p>
    <w:p w14:paraId="72A0F7C0" w14:textId="32A2F622" w:rsidR="005B4E69" w:rsidRPr="005B4E69" w:rsidRDefault="005B4E69" w:rsidP="005B4E69">
      <w:pPr>
        <w:spacing w:after="160" w:line="259" w:lineRule="auto"/>
        <w:jc w:val="both"/>
        <w:rPr>
          <w:rFonts w:eastAsia="Times New Roman"/>
          <w:b/>
          <w:bCs/>
          <w:color w:val="000000"/>
          <w:shd w:val="clear" w:color="auto" w:fill="FFFFFF"/>
          <w:lang w:val="ru-RU"/>
        </w:rPr>
      </w:pPr>
      <w:r w:rsidRPr="005B4E69">
        <w:rPr>
          <w:rFonts w:eastAsia="Times New Roman"/>
          <w:b/>
          <w:bCs/>
          <w:color w:val="000000"/>
          <w:shd w:val="clear" w:color="auto" w:fill="FFFFFF"/>
          <w:lang w:val="ru-RU"/>
        </w:rPr>
        <w:t xml:space="preserve">ГК РФ </w:t>
      </w:r>
      <w:r w:rsidRPr="005B4E69">
        <w:rPr>
          <w:rFonts w:eastAsia="Times New Roman"/>
          <w:b/>
          <w:bCs/>
          <w:color w:val="000000"/>
          <w:shd w:val="clear" w:color="auto" w:fill="FFFFFF"/>
          <w:lang w:val="ru-RU"/>
        </w:rPr>
        <w:t>Статья 296. Право оперативного управления</w:t>
      </w:r>
    </w:p>
    <w:p w14:paraId="2573B35B" w14:textId="77777777" w:rsidR="005B4E69" w:rsidRPr="005B4E69" w:rsidRDefault="005B4E69" w:rsidP="005B4E69">
      <w:pPr>
        <w:spacing w:after="160" w:line="259" w:lineRule="auto"/>
        <w:jc w:val="both"/>
        <w:rPr>
          <w:rFonts w:eastAsia="Times New Roman"/>
          <w:color w:val="000000"/>
          <w:shd w:val="clear" w:color="auto" w:fill="FFFFFF"/>
          <w:lang w:val="ru-RU"/>
        </w:rPr>
      </w:pPr>
      <w:r w:rsidRPr="005B4E69">
        <w:rPr>
          <w:rFonts w:eastAsia="Times New Roman"/>
          <w:color w:val="000000"/>
          <w:shd w:val="clear" w:color="auto" w:fill="FFFFFF"/>
          <w:lang w:val="ru-RU"/>
        </w:rPr>
        <w:t xml:space="preserve">1. Учреждение и казенное предприятие, за которыми имущество закреплено на праве оперативного управления, </w:t>
      </w:r>
      <w:r w:rsidRPr="005B4E69">
        <w:rPr>
          <w:rFonts w:eastAsia="Times New Roman"/>
          <w:b/>
          <w:bCs/>
          <w:color w:val="000000"/>
          <w:shd w:val="clear" w:color="auto" w:fill="FFFFFF"/>
          <w:lang w:val="ru-RU"/>
        </w:rPr>
        <w:t>владеют, пользуются этим имуществом</w:t>
      </w:r>
      <w:r w:rsidRPr="005B4E69">
        <w:rPr>
          <w:rFonts w:eastAsia="Times New Roman"/>
          <w:color w:val="000000"/>
          <w:shd w:val="clear" w:color="auto" w:fill="FFFFFF"/>
          <w:lang w:val="ru-RU"/>
        </w:rPr>
        <w:t xml:space="preserve">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14:paraId="6BA50CDE" w14:textId="40DECF9E" w:rsidR="00064444" w:rsidRDefault="005B4E69" w:rsidP="005B4E69">
      <w:pPr>
        <w:spacing w:after="160" w:line="259" w:lineRule="auto"/>
        <w:jc w:val="both"/>
        <w:rPr>
          <w:rFonts w:eastAsia="Times New Roman"/>
          <w:color w:val="000000"/>
          <w:shd w:val="clear" w:color="auto" w:fill="FFFFFF"/>
          <w:lang w:val="ru-RU"/>
        </w:rPr>
      </w:pPr>
      <w:r w:rsidRPr="005B4E69">
        <w:rPr>
          <w:rFonts w:eastAsia="Times New Roman"/>
          <w:color w:val="000000"/>
          <w:shd w:val="clear" w:color="auto" w:fill="FFFFFF"/>
          <w:lang w:val="ru-RU"/>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14:paraId="458E893F" w14:textId="77777777" w:rsidR="005B4E69" w:rsidRDefault="005B4E69" w:rsidP="00064444">
      <w:pPr>
        <w:spacing w:after="160" w:line="259" w:lineRule="auto"/>
        <w:jc w:val="both"/>
        <w:rPr>
          <w:rFonts w:eastAsia="Times New Roman"/>
          <w:color w:val="000000"/>
          <w:shd w:val="clear" w:color="auto" w:fill="FFFFFF"/>
          <w:lang w:val="ru-RU"/>
        </w:rPr>
      </w:pPr>
    </w:p>
    <w:p w14:paraId="5B7877D3" w14:textId="720CAF11" w:rsidR="00F20F6B" w:rsidRDefault="00064444" w:rsidP="00064444">
      <w:pPr>
        <w:spacing w:after="160" w:line="259" w:lineRule="auto"/>
        <w:jc w:val="both"/>
        <w:rPr>
          <w:rFonts w:eastAsia="Times New Roman"/>
          <w:color w:val="000000"/>
          <w:shd w:val="clear" w:color="auto" w:fill="FFFFFF"/>
          <w:lang w:val="ru-RU"/>
        </w:rPr>
      </w:pPr>
      <w:r w:rsidRPr="00064444">
        <w:rPr>
          <w:rFonts w:eastAsia="Times New Roman"/>
          <w:color w:val="000000"/>
          <w:shd w:val="clear" w:color="auto" w:fill="FFFFFF"/>
          <w:lang w:val="ru-RU"/>
        </w:rPr>
        <w:t>Законодательством по бухгалтерскому учету не установлены особенности учета имущества, переданного/полученного в оперативное управление.</w:t>
      </w:r>
    </w:p>
    <w:p w14:paraId="59C2A934" w14:textId="7772A352" w:rsidR="00064444" w:rsidRPr="00064444" w:rsidRDefault="00064444" w:rsidP="00064444">
      <w:pPr>
        <w:spacing w:after="160" w:line="259" w:lineRule="auto"/>
        <w:jc w:val="both"/>
        <w:rPr>
          <w:rFonts w:eastAsia="Times New Roman"/>
          <w:color w:val="000000"/>
          <w:shd w:val="clear" w:color="auto" w:fill="FFFFFF"/>
          <w:lang w:val="ru-RU"/>
        </w:rPr>
      </w:pPr>
      <w:r w:rsidRPr="00064444">
        <w:rPr>
          <w:rFonts w:eastAsia="Times New Roman"/>
          <w:color w:val="000000"/>
          <w:shd w:val="clear" w:color="auto" w:fill="FFFFFF"/>
          <w:lang w:val="ru-RU"/>
        </w:rPr>
        <w:t xml:space="preserve">Минфин РФ </w:t>
      </w:r>
      <w:r w:rsidRPr="00064444">
        <w:rPr>
          <w:rFonts w:eastAsia="Times New Roman"/>
          <w:b/>
          <w:bCs/>
          <w:color w:val="000000"/>
          <w:shd w:val="clear" w:color="auto" w:fill="FFFFFF"/>
          <w:lang w:val="ru-RU"/>
        </w:rPr>
        <w:t>Письм</w:t>
      </w:r>
      <w:r w:rsidR="005B4E69">
        <w:rPr>
          <w:rFonts w:eastAsia="Times New Roman"/>
          <w:b/>
          <w:bCs/>
          <w:color w:val="000000"/>
          <w:shd w:val="clear" w:color="auto" w:fill="FFFFFF"/>
          <w:lang w:val="ru-RU"/>
        </w:rPr>
        <w:t>о</w:t>
      </w:r>
      <w:r w:rsidRPr="00064444">
        <w:rPr>
          <w:rFonts w:eastAsia="Times New Roman"/>
          <w:b/>
          <w:bCs/>
          <w:color w:val="000000"/>
          <w:shd w:val="clear" w:color="auto" w:fill="FFFFFF"/>
          <w:lang w:val="ru-RU"/>
        </w:rPr>
        <w:t xml:space="preserve"> от 21.04.2008 N 03-05-05-01/23</w:t>
      </w:r>
      <w:r w:rsidRPr="00064444">
        <w:rPr>
          <w:rFonts w:eastAsia="Times New Roman"/>
          <w:color w:val="000000"/>
          <w:shd w:val="clear" w:color="auto" w:fill="FFFFFF"/>
          <w:lang w:val="ru-RU"/>
        </w:rPr>
        <w:t>:</w:t>
      </w:r>
    </w:p>
    <w:p w14:paraId="1BE21BA4" w14:textId="77A29462" w:rsidR="00064444" w:rsidRPr="00064444" w:rsidRDefault="00064444" w:rsidP="00064444">
      <w:pPr>
        <w:spacing w:after="160" w:line="259" w:lineRule="auto"/>
        <w:jc w:val="both"/>
        <w:rPr>
          <w:rFonts w:eastAsia="Times New Roman"/>
          <w:color w:val="000000"/>
          <w:shd w:val="clear" w:color="auto" w:fill="FFFFFF"/>
          <w:lang w:val="ru-RU"/>
        </w:rPr>
      </w:pPr>
      <w:r w:rsidRPr="00064444">
        <w:rPr>
          <w:rFonts w:eastAsia="Times New Roman"/>
          <w:color w:val="000000"/>
          <w:shd w:val="clear" w:color="auto" w:fill="FFFFFF"/>
          <w:lang w:val="ru-RU"/>
        </w:rPr>
        <w:t xml:space="preserve">При решении вопроса о порядке учета у коммерческой организации (собственника) имущества, переданного в оперативное управление созданному данной организацией учреждению, необходимо руководствоваться Концепцией развития бухгалтерского учета в рыночной экономике, одобренной Методологическим советом по бухгалтерскому учету при Минфине России и Президентским советом Института профессиональных бухгалтеров России 29.12.1997 (далее - </w:t>
      </w:r>
      <w:r w:rsidRPr="00064444">
        <w:rPr>
          <w:rFonts w:eastAsia="Times New Roman"/>
          <w:b/>
          <w:bCs/>
          <w:color w:val="000000"/>
          <w:shd w:val="clear" w:color="auto" w:fill="FFFFFF"/>
          <w:lang w:val="ru-RU"/>
        </w:rPr>
        <w:t>Концепция</w:t>
      </w:r>
      <w:r w:rsidRPr="00064444">
        <w:rPr>
          <w:rFonts w:eastAsia="Times New Roman"/>
          <w:color w:val="000000"/>
          <w:shd w:val="clear" w:color="auto" w:fill="FFFFFF"/>
          <w:lang w:val="ru-RU"/>
        </w:rPr>
        <w:t>).</w:t>
      </w:r>
    </w:p>
    <w:p w14:paraId="4C4B1DB2" w14:textId="77777777" w:rsidR="00064444" w:rsidRPr="00064444" w:rsidRDefault="00064444" w:rsidP="00064444">
      <w:pPr>
        <w:spacing w:after="160" w:line="259" w:lineRule="auto"/>
        <w:jc w:val="both"/>
        <w:rPr>
          <w:rFonts w:eastAsia="Times New Roman"/>
          <w:b/>
          <w:bCs/>
          <w:color w:val="000000"/>
          <w:shd w:val="clear" w:color="auto" w:fill="FFFFFF"/>
          <w:lang w:val="ru-RU"/>
        </w:rPr>
      </w:pPr>
      <w:r w:rsidRPr="00064444">
        <w:rPr>
          <w:rFonts w:eastAsia="Times New Roman"/>
          <w:color w:val="000000"/>
          <w:shd w:val="clear" w:color="auto" w:fill="FFFFFF"/>
          <w:lang w:val="ru-RU"/>
        </w:rPr>
        <w:t xml:space="preserve">Исходя из Концепции </w:t>
      </w:r>
      <w:r w:rsidRPr="00064444">
        <w:rPr>
          <w:rFonts w:eastAsia="Times New Roman"/>
          <w:b/>
          <w:bCs/>
          <w:color w:val="000000"/>
          <w:shd w:val="clear" w:color="auto" w:fill="FFFFFF"/>
          <w:lang w:val="ru-RU"/>
        </w:rPr>
        <w:t>имущество, переданное в оперативное управление, признается в качестве актива, когда вероятно получение организацией экономических выгод в будущем от этого актива и когда стоимость его может быть измерена с достаточной степенью надежности.</w:t>
      </w:r>
    </w:p>
    <w:p w14:paraId="3E1915B6" w14:textId="77777777" w:rsidR="00064444" w:rsidRDefault="00064444" w:rsidP="00064444">
      <w:pPr>
        <w:spacing w:after="160" w:line="259" w:lineRule="auto"/>
        <w:jc w:val="both"/>
        <w:rPr>
          <w:rFonts w:eastAsia="Times New Roman"/>
          <w:color w:val="000000"/>
          <w:shd w:val="clear" w:color="auto" w:fill="FFFFFF"/>
          <w:lang w:val="ru-RU"/>
        </w:rPr>
      </w:pPr>
      <w:r w:rsidRPr="005B4E69">
        <w:rPr>
          <w:rFonts w:eastAsia="Times New Roman"/>
          <w:b/>
          <w:bCs/>
          <w:color w:val="000000"/>
          <w:shd w:val="clear" w:color="auto" w:fill="FFFFFF"/>
          <w:lang w:val="ru-RU"/>
        </w:rPr>
        <w:t>При принятии имущества к бухгалтерскому учету в качестве активов определенного вида следует руководствоваться критериями (условиями), установленными соответствующими нормативными правовыми актами по бухгалтерскому учету</w:t>
      </w:r>
      <w:r w:rsidRPr="00064444">
        <w:rPr>
          <w:rFonts w:eastAsia="Times New Roman"/>
          <w:color w:val="000000"/>
          <w:shd w:val="clear" w:color="auto" w:fill="FFFFFF"/>
          <w:lang w:val="ru-RU"/>
        </w:rPr>
        <w:t xml:space="preserve">. </w:t>
      </w:r>
    </w:p>
    <w:p w14:paraId="72390634" w14:textId="77125865" w:rsidR="00F20F6B" w:rsidRDefault="005B4E69" w:rsidP="005B4E69">
      <w:pPr>
        <w:spacing w:after="160" w:line="259" w:lineRule="auto"/>
        <w:jc w:val="both"/>
        <w:rPr>
          <w:rFonts w:eastAsia="Times New Roman"/>
          <w:color w:val="000000"/>
          <w:shd w:val="clear" w:color="auto" w:fill="FFFFFF"/>
          <w:lang w:val="ru-RU"/>
        </w:rPr>
      </w:pPr>
      <w:r w:rsidRPr="005B4E69">
        <w:rPr>
          <w:rFonts w:eastAsia="Times New Roman"/>
          <w:color w:val="000000"/>
          <w:shd w:val="clear" w:color="auto" w:fill="FFFFFF"/>
          <w:lang w:val="ru-RU"/>
        </w:rPr>
        <w:t>В случае</w:t>
      </w:r>
      <w:r>
        <w:rPr>
          <w:rFonts w:eastAsia="Times New Roman"/>
          <w:color w:val="000000"/>
          <w:shd w:val="clear" w:color="auto" w:fill="FFFFFF"/>
          <w:lang w:val="ru-RU"/>
        </w:rPr>
        <w:t>,</w:t>
      </w:r>
      <w:r w:rsidRPr="005B4E69">
        <w:rPr>
          <w:rFonts w:eastAsia="Times New Roman"/>
          <w:color w:val="000000"/>
          <w:shd w:val="clear" w:color="auto" w:fill="FFFFFF"/>
          <w:lang w:val="ru-RU"/>
        </w:rPr>
        <w:t xml:space="preserve"> когда имущество, переданное в оперативное управление, не может быть признано организацией активом в соответствии с Концепцией, стоимость такого имущества отражается по дебету счета 91 "Прочие доходы и расходы" в корреспонденции с кредитом соответствующих счетов учета имущества</w:t>
      </w:r>
      <w:r>
        <w:rPr>
          <w:rFonts w:eastAsia="Times New Roman"/>
          <w:color w:val="000000"/>
          <w:shd w:val="clear" w:color="auto" w:fill="FFFFFF"/>
          <w:lang w:val="ru-RU"/>
        </w:rPr>
        <w:t>.</w:t>
      </w:r>
      <w:r w:rsidR="00F20F6B">
        <w:rPr>
          <w:rFonts w:eastAsia="Times New Roman"/>
          <w:color w:val="000000"/>
          <w:shd w:val="clear" w:color="auto" w:fill="FFFFFF"/>
          <w:lang w:val="ru-RU"/>
        </w:rPr>
        <w:br w:type="page"/>
      </w:r>
    </w:p>
    <w:p w14:paraId="7D3C6A71" w14:textId="277CA8E8" w:rsidR="00F20F6B" w:rsidRPr="00F20F6B" w:rsidRDefault="00F20F6B" w:rsidP="00F20F6B">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F20F6B">
        <w:rPr>
          <w:rFonts w:eastAsia="Times New Roman"/>
          <w:b/>
          <w:bCs/>
          <w:color w:val="000000"/>
          <w:shd w:val="clear" w:color="auto" w:fill="FFFFFF"/>
          <w:lang w:val="ru-RU"/>
        </w:rPr>
        <w:lastRenderedPageBreak/>
        <w:t xml:space="preserve">ВОПРОС </w:t>
      </w:r>
      <w:r w:rsidRPr="00F20F6B">
        <w:rPr>
          <w:rFonts w:eastAsia="Times New Roman"/>
          <w:b/>
          <w:bCs/>
          <w:color w:val="000000"/>
          <w:shd w:val="clear" w:color="auto" w:fill="FFFFFF"/>
          <w:lang w:val="ru-RU"/>
        </w:rPr>
        <w:t>13. Елена Вячеславовна Ч.</w:t>
      </w:r>
    </w:p>
    <w:p w14:paraId="45A41120" w14:textId="3DB1DF29" w:rsidR="00F20F6B" w:rsidRDefault="00F20F6B" w:rsidP="00F20F6B">
      <w:pPr>
        <w:pBdr>
          <w:top w:val="single" w:sz="4" w:space="1" w:color="auto"/>
          <w:left w:val="single" w:sz="4" w:space="4" w:color="auto"/>
          <w:bottom w:val="single" w:sz="4" w:space="1" w:color="auto"/>
          <w:right w:val="single" w:sz="4" w:space="4" w:color="auto"/>
        </w:pBdr>
        <w:spacing w:after="160" w:line="259" w:lineRule="auto"/>
        <w:rPr>
          <w:rFonts w:eastAsia="Times New Roman"/>
          <w:color w:val="000000"/>
          <w:shd w:val="clear" w:color="auto" w:fill="FFFFFF"/>
          <w:lang w:val="ru-RU"/>
        </w:rPr>
      </w:pPr>
      <w:r w:rsidRPr="00F20F6B">
        <w:rPr>
          <w:rFonts w:eastAsia="Times New Roman"/>
          <w:color w:val="000000"/>
          <w:shd w:val="clear" w:color="auto" w:fill="FFFFFF"/>
          <w:lang w:val="ru-RU"/>
        </w:rPr>
        <w:t>По какой стоимости в бухгалтерском учёте поставить на учет имущество (квартира, гараж) при передаче его от учредителя в ЛИЧНЫЙ ФОНД учредителя?</w:t>
      </w:r>
    </w:p>
    <w:p w14:paraId="68998FF8" w14:textId="77777777" w:rsidR="00F20F6B" w:rsidRDefault="00F20F6B" w:rsidP="00F20F6B">
      <w:pPr>
        <w:spacing w:after="160" w:line="259" w:lineRule="auto"/>
        <w:rPr>
          <w:rFonts w:eastAsia="Times New Roman"/>
          <w:color w:val="000000"/>
          <w:shd w:val="clear" w:color="auto" w:fill="FFFFFF"/>
          <w:lang w:val="ru-RU"/>
        </w:rPr>
      </w:pPr>
    </w:p>
    <w:p w14:paraId="17397833" w14:textId="54BA4063" w:rsidR="00F6312A" w:rsidRPr="00F6312A" w:rsidRDefault="00F6312A" w:rsidP="00F6312A">
      <w:pPr>
        <w:spacing w:after="160" w:line="259" w:lineRule="auto"/>
        <w:rPr>
          <w:rFonts w:eastAsia="Times New Roman"/>
          <w:b/>
          <w:bCs/>
          <w:color w:val="000000"/>
          <w:shd w:val="clear" w:color="auto" w:fill="FFFFFF"/>
          <w:lang w:val="ru-RU"/>
        </w:rPr>
      </w:pPr>
      <w:r w:rsidRPr="00F6312A">
        <w:rPr>
          <w:rFonts w:eastAsia="Times New Roman"/>
          <w:b/>
          <w:bCs/>
          <w:color w:val="000000"/>
          <w:shd w:val="clear" w:color="auto" w:fill="FFFFFF"/>
          <w:lang w:val="ru-RU"/>
        </w:rPr>
        <w:t xml:space="preserve">ГК РФ </w:t>
      </w:r>
      <w:r w:rsidRPr="00F6312A">
        <w:rPr>
          <w:rFonts w:eastAsia="Times New Roman"/>
          <w:b/>
          <w:bCs/>
          <w:color w:val="000000"/>
          <w:shd w:val="clear" w:color="auto" w:fill="FFFFFF"/>
          <w:lang w:val="ru-RU"/>
        </w:rPr>
        <w:t>Статья 123.20-4. Основные положения о личном фонде</w:t>
      </w:r>
    </w:p>
    <w:p w14:paraId="718D1EB1" w14:textId="77777777" w:rsidR="00F6312A" w:rsidRPr="00F6312A" w:rsidRDefault="00F6312A" w:rsidP="00F6312A">
      <w:pPr>
        <w:spacing w:after="160" w:line="259" w:lineRule="auto"/>
        <w:jc w:val="both"/>
        <w:rPr>
          <w:rFonts w:eastAsia="Times New Roman"/>
          <w:color w:val="000000"/>
          <w:shd w:val="clear" w:color="auto" w:fill="FFFFFF"/>
          <w:lang w:val="ru-RU"/>
        </w:rPr>
      </w:pPr>
    </w:p>
    <w:p w14:paraId="1BFA1D95" w14:textId="4DDF7139" w:rsidR="00F20F6B" w:rsidRDefault="00F6312A" w:rsidP="00F6312A">
      <w:pPr>
        <w:spacing w:after="160" w:line="259" w:lineRule="auto"/>
        <w:jc w:val="both"/>
        <w:rPr>
          <w:rFonts w:eastAsia="Times New Roman"/>
          <w:color w:val="000000"/>
          <w:shd w:val="clear" w:color="auto" w:fill="FFFFFF"/>
          <w:lang w:val="ru-RU"/>
        </w:rPr>
      </w:pPr>
      <w:r w:rsidRPr="00F6312A">
        <w:rPr>
          <w:rFonts w:eastAsia="Times New Roman"/>
          <w:color w:val="000000"/>
          <w:shd w:val="clear" w:color="auto" w:fill="FFFFFF"/>
          <w:lang w:val="ru-RU"/>
        </w:rP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14:paraId="6B9A5D03" w14:textId="3B5AF85A" w:rsidR="00F20F6B" w:rsidRDefault="00F6312A" w:rsidP="00F6312A">
      <w:pPr>
        <w:spacing w:after="160" w:line="259" w:lineRule="auto"/>
        <w:jc w:val="both"/>
        <w:rPr>
          <w:rFonts w:eastAsia="Times New Roman"/>
          <w:color w:val="000000"/>
          <w:shd w:val="clear" w:color="auto" w:fill="FFFFFF"/>
          <w:lang w:val="ru-RU"/>
        </w:rPr>
      </w:pPr>
      <w:r w:rsidRPr="00F6312A">
        <w:rPr>
          <w:rFonts w:eastAsia="Times New Roman"/>
          <w:color w:val="000000"/>
          <w:shd w:val="clear" w:color="auto" w:fill="FFFFFF"/>
          <w:lang w:val="ru-RU"/>
        </w:rP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14:paraId="2571ACAC" w14:textId="20200755" w:rsidR="00F6312A" w:rsidRDefault="00F6312A" w:rsidP="00F6312A">
      <w:pPr>
        <w:spacing w:after="160" w:line="259" w:lineRule="auto"/>
        <w:jc w:val="both"/>
        <w:rPr>
          <w:rFonts w:eastAsia="Times New Roman"/>
          <w:color w:val="000000"/>
          <w:shd w:val="clear" w:color="auto" w:fill="FFFFFF"/>
          <w:lang w:val="ru-RU"/>
        </w:rPr>
      </w:pPr>
      <w:r w:rsidRPr="00F6312A">
        <w:rPr>
          <w:rFonts w:eastAsia="Times New Roman"/>
          <w:color w:val="000000"/>
          <w:shd w:val="clear" w:color="auto" w:fill="FFFFFF"/>
          <w:lang w:val="ru-RU"/>
        </w:rPr>
        <w:t xml:space="preserve">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w:t>
      </w:r>
      <w:r w:rsidRPr="00F6312A">
        <w:rPr>
          <w:rFonts w:eastAsia="Times New Roman"/>
          <w:b/>
          <w:bCs/>
          <w:color w:val="000000"/>
          <w:shd w:val="clear" w:color="auto" w:fill="FFFFFF"/>
          <w:lang w:val="ru-RU"/>
        </w:rPr>
        <w:t>стоимость этого имущества определяется на основании оценки его рыночной стоимости</w:t>
      </w:r>
      <w:r w:rsidRPr="00F6312A">
        <w:rPr>
          <w:rFonts w:eastAsia="Times New Roman"/>
          <w:color w:val="000000"/>
          <w:shd w:val="clear" w:color="auto" w:fill="FFFFFF"/>
          <w:lang w:val="ru-RU"/>
        </w:rPr>
        <w:t>.</w:t>
      </w:r>
    </w:p>
    <w:p w14:paraId="3BF8977D" w14:textId="77777777" w:rsidR="00683EB4" w:rsidRDefault="00683EB4" w:rsidP="00F6312A">
      <w:pPr>
        <w:spacing w:after="160" w:line="259" w:lineRule="auto"/>
        <w:jc w:val="both"/>
        <w:rPr>
          <w:rFonts w:eastAsia="Times New Roman"/>
          <w:color w:val="000000"/>
          <w:shd w:val="clear" w:color="auto" w:fill="FFFFFF"/>
          <w:lang w:val="ru-RU"/>
        </w:rPr>
      </w:pPr>
    </w:p>
    <w:p w14:paraId="4557E51F" w14:textId="3CAFCE69" w:rsidR="006533D1" w:rsidRPr="006533D1" w:rsidRDefault="006533D1" w:rsidP="00F6312A">
      <w:pPr>
        <w:spacing w:after="160" w:line="259" w:lineRule="auto"/>
        <w:jc w:val="both"/>
        <w:rPr>
          <w:rFonts w:eastAsia="Times New Roman"/>
          <w:b/>
          <w:bCs/>
          <w:color w:val="000000"/>
          <w:shd w:val="clear" w:color="auto" w:fill="FFFFFF"/>
          <w:lang w:val="ru-RU"/>
        </w:rPr>
      </w:pPr>
      <w:r w:rsidRPr="006533D1">
        <w:rPr>
          <w:rFonts w:eastAsia="Times New Roman"/>
          <w:b/>
          <w:bCs/>
          <w:color w:val="000000"/>
          <w:shd w:val="clear" w:color="auto" w:fill="FFFFFF"/>
          <w:lang w:val="ru-RU"/>
        </w:rPr>
        <w:t>ФСБУ 26/2020 "КАПИТАЛЬНЫЕ ВЛОЖЕНИЯ"</w:t>
      </w:r>
    </w:p>
    <w:p w14:paraId="7095E3B1" w14:textId="77777777" w:rsidR="00187D80" w:rsidRPr="00187D80" w:rsidRDefault="00187D80" w:rsidP="00187D80">
      <w:pPr>
        <w:spacing w:after="160" w:line="259" w:lineRule="auto"/>
        <w:jc w:val="both"/>
        <w:rPr>
          <w:rFonts w:eastAsia="Times New Roman"/>
          <w:color w:val="000000"/>
          <w:shd w:val="clear" w:color="auto" w:fill="FFFFFF"/>
          <w:lang w:val="ru-RU"/>
        </w:rPr>
      </w:pPr>
      <w:r w:rsidRPr="00187D80">
        <w:rPr>
          <w:rFonts w:eastAsia="Times New Roman"/>
          <w:color w:val="000000"/>
          <w:shd w:val="clear" w:color="auto" w:fill="FFFFFF"/>
          <w:lang w:val="ru-RU"/>
        </w:rPr>
        <w:t>II. Оценка</w:t>
      </w:r>
    </w:p>
    <w:p w14:paraId="37E87335" w14:textId="418670F5" w:rsidR="006533D1" w:rsidRDefault="00187D80" w:rsidP="00187D80">
      <w:pPr>
        <w:spacing w:after="160" w:line="259" w:lineRule="auto"/>
        <w:jc w:val="both"/>
        <w:rPr>
          <w:rFonts w:eastAsia="Times New Roman"/>
          <w:color w:val="000000"/>
          <w:shd w:val="clear" w:color="auto" w:fill="FFFFFF"/>
          <w:lang w:val="ru-RU"/>
        </w:rPr>
      </w:pPr>
      <w:r w:rsidRPr="00187D80">
        <w:rPr>
          <w:rFonts w:eastAsia="Times New Roman"/>
          <w:color w:val="000000"/>
          <w:shd w:val="clear" w:color="auto" w:fill="FFFFFF"/>
          <w:lang w:val="ru-RU"/>
        </w:rPr>
        <w:t xml:space="preserve">9. Капитальные вложения признаются в бухгалтерском учете в сумме </w:t>
      </w:r>
      <w:r w:rsidRPr="00170BEF">
        <w:rPr>
          <w:rFonts w:eastAsia="Times New Roman"/>
          <w:b/>
          <w:bCs/>
          <w:color w:val="000000"/>
          <w:shd w:val="clear" w:color="auto" w:fill="FFFFFF"/>
          <w:lang w:val="ru-RU"/>
        </w:rPr>
        <w:t>фактических затрат</w:t>
      </w:r>
      <w:r w:rsidRPr="00187D80">
        <w:rPr>
          <w:rFonts w:eastAsia="Times New Roman"/>
          <w:color w:val="000000"/>
          <w:shd w:val="clear" w:color="auto" w:fill="FFFFFF"/>
          <w:lang w:val="ru-RU"/>
        </w:rPr>
        <w:t xml:space="preserve"> на приобретение, создание, улучшение объектов основных средств, объектов нематериальных активов, а также на восстановление объектов основных средств (далее - фактические затраты).</w:t>
      </w:r>
    </w:p>
    <w:p w14:paraId="58AAA30F" w14:textId="794B21EB" w:rsidR="006533D1" w:rsidRDefault="006533D1" w:rsidP="00F6312A">
      <w:pPr>
        <w:spacing w:after="160" w:line="259" w:lineRule="auto"/>
        <w:jc w:val="both"/>
        <w:rPr>
          <w:rFonts w:eastAsia="Times New Roman"/>
          <w:color w:val="000000"/>
          <w:shd w:val="clear" w:color="auto" w:fill="FFFFFF"/>
          <w:lang w:val="ru-RU"/>
        </w:rPr>
      </w:pPr>
      <w:r w:rsidRPr="006533D1">
        <w:rPr>
          <w:rFonts w:eastAsia="Times New Roman"/>
          <w:color w:val="000000"/>
          <w:shd w:val="clear" w:color="auto" w:fill="FFFFFF"/>
          <w:lang w:val="ru-RU"/>
        </w:rPr>
        <w:t xml:space="preserve">14. </w:t>
      </w:r>
      <w:r w:rsidRPr="00170BEF">
        <w:rPr>
          <w:rFonts w:eastAsia="Times New Roman"/>
          <w:b/>
          <w:bCs/>
          <w:color w:val="000000"/>
          <w:shd w:val="clear" w:color="auto" w:fill="FFFFFF"/>
          <w:lang w:val="ru-RU"/>
        </w:rPr>
        <w:t>Фактическими затратами</w:t>
      </w:r>
      <w:r w:rsidRPr="006533D1">
        <w:rPr>
          <w:rFonts w:eastAsia="Times New Roman"/>
          <w:color w:val="000000"/>
          <w:shd w:val="clear" w:color="auto" w:fill="FFFFFF"/>
          <w:lang w:val="ru-RU"/>
        </w:rPr>
        <w:t xml:space="preserve"> в имущество, права на результаты интеллектуальной деятельности и средства индивидуализации, которые организация получает </w:t>
      </w:r>
      <w:r w:rsidRPr="00170BEF">
        <w:rPr>
          <w:rFonts w:eastAsia="Times New Roman"/>
          <w:b/>
          <w:bCs/>
          <w:color w:val="000000"/>
          <w:shd w:val="clear" w:color="auto" w:fill="FFFFFF"/>
          <w:lang w:val="ru-RU"/>
        </w:rPr>
        <w:t>безвозмездно</w:t>
      </w:r>
      <w:r w:rsidRPr="006533D1">
        <w:rPr>
          <w:rFonts w:eastAsia="Times New Roman"/>
          <w:color w:val="000000"/>
          <w:shd w:val="clear" w:color="auto" w:fill="FFFFFF"/>
          <w:lang w:val="ru-RU"/>
        </w:rPr>
        <w:t xml:space="preserve">, считается </w:t>
      </w:r>
      <w:r w:rsidRPr="00170BEF">
        <w:rPr>
          <w:rFonts w:eastAsia="Times New Roman"/>
          <w:b/>
          <w:bCs/>
          <w:color w:val="000000"/>
          <w:shd w:val="clear" w:color="auto" w:fill="FFFFFF"/>
          <w:lang w:val="ru-RU"/>
        </w:rPr>
        <w:t>справедливая стоимость</w:t>
      </w:r>
      <w:r w:rsidRPr="006533D1">
        <w:rPr>
          <w:rFonts w:eastAsia="Times New Roman"/>
          <w:color w:val="000000"/>
          <w:shd w:val="clear" w:color="auto" w:fill="FFFFFF"/>
          <w:lang w:val="ru-RU"/>
        </w:rPr>
        <w:t xml:space="preserve"> таких имущества, прав.</w:t>
      </w:r>
    </w:p>
    <w:p w14:paraId="767299D7" w14:textId="77777777" w:rsidR="006533D1" w:rsidRDefault="006533D1" w:rsidP="00F6312A">
      <w:pPr>
        <w:spacing w:after="160" w:line="259" w:lineRule="auto"/>
        <w:jc w:val="both"/>
        <w:rPr>
          <w:rFonts w:eastAsia="Times New Roman"/>
          <w:color w:val="000000"/>
          <w:shd w:val="clear" w:color="auto" w:fill="FFFFFF"/>
          <w:lang w:val="ru-RU"/>
        </w:rPr>
      </w:pPr>
    </w:p>
    <w:p w14:paraId="0A303FB5" w14:textId="6D002B4A" w:rsidR="00683EB4" w:rsidRPr="00683EB4" w:rsidRDefault="00683EB4" w:rsidP="00F6312A">
      <w:pPr>
        <w:spacing w:after="160" w:line="259" w:lineRule="auto"/>
        <w:jc w:val="both"/>
        <w:rPr>
          <w:rFonts w:eastAsia="Times New Roman"/>
          <w:b/>
          <w:bCs/>
          <w:color w:val="000000"/>
          <w:shd w:val="clear" w:color="auto" w:fill="FFFFFF"/>
          <w:lang w:val="ru-RU"/>
        </w:rPr>
      </w:pPr>
      <w:r w:rsidRPr="00683EB4">
        <w:rPr>
          <w:rFonts w:eastAsia="Times New Roman"/>
          <w:b/>
          <w:bCs/>
          <w:color w:val="000000"/>
          <w:shd w:val="clear" w:color="auto" w:fill="FFFFFF"/>
          <w:lang w:val="ru-RU"/>
        </w:rPr>
        <w:t>НК РФ</w:t>
      </w:r>
    </w:p>
    <w:p w14:paraId="66E743F7" w14:textId="51B78E7D" w:rsidR="006533D1" w:rsidRPr="006533D1" w:rsidRDefault="006533D1" w:rsidP="00683EB4">
      <w:pPr>
        <w:spacing w:after="160" w:line="259" w:lineRule="auto"/>
        <w:jc w:val="both"/>
        <w:rPr>
          <w:rFonts w:eastAsia="Times New Roman"/>
          <w:b/>
          <w:bCs/>
          <w:color w:val="000000"/>
          <w:shd w:val="clear" w:color="auto" w:fill="FFFFFF"/>
          <w:lang w:val="ru-RU"/>
        </w:rPr>
      </w:pPr>
      <w:r w:rsidRPr="006533D1">
        <w:rPr>
          <w:rFonts w:eastAsia="Times New Roman"/>
          <w:b/>
          <w:bCs/>
          <w:color w:val="000000"/>
          <w:shd w:val="clear" w:color="auto" w:fill="FFFFFF"/>
          <w:lang w:val="ru-RU"/>
        </w:rPr>
        <w:t>Налог на имущество</w:t>
      </w:r>
    </w:p>
    <w:p w14:paraId="09D51B99" w14:textId="4E4C79BE" w:rsidR="00683EB4" w:rsidRPr="00683EB4" w:rsidRDefault="00683EB4" w:rsidP="00683EB4">
      <w:pPr>
        <w:spacing w:after="160" w:line="259" w:lineRule="auto"/>
        <w:jc w:val="both"/>
        <w:rPr>
          <w:rFonts w:eastAsia="Times New Roman"/>
          <w:color w:val="000000"/>
          <w:shd w:val="clear" w:color="auto" w:fill="FFFFFF"/>
          <w:lang w:val="ru-RU"/>
        </w:rPr>
      </w:pPr>
      <w:r w:rsidRPr="00683EB4">
        <w:rPr>
          <w:rFonts w:eastAsia="Times New Roman"/>
          <w:color w:val="000000"/>
          <w:shd w:val="clear" w:color="auto" w:fill="FFFFFF"/>
          <w:lang w:val="ru-RU"/>
        </w:rPr>
        <w:t>Статьей 375 Кодекса предусмотрено, что налоговая база по налогу на имущество организаций определяется как среднегодовая стоимость имущества, признаваемого объектом налогообложения. При этом в отношении отдельных объектов недвижимого имущества, указанных в статье 378.2 Кодекса, налоговая база определяется как их кадастровая стоимость.</w:t>
      </w:r>
    </w:p>
    <w:p w14:paraId="6B432556" w14:textId="4F9076E0" w:rsidR="00683EB4" w:rsidRDefault="00683EB4" w:rsidP="00683EB4">
      <w:pPr>
        <w:spacing w:after="160" w:line="259" w:lineRule="auto"/>
        <w:jc w:val="both"/>
        <w:rPr>
          <w:rFonts w:eastAsia="Times New Roman"/>
          <w:color w:val="000000"/>
          <w:shd w:val="clear" w:color="auto" w:fill="FFFFFF"/>
          <w:lang w:val="ru-RU"/>
        </w:rPr>
      </w:pPr>
      <w:r w:rsidRPr="00683EB4">
        <w:rPr>
          <w:rFonts w:eastAsia="Times New Roman"/>
          <w:color w:val="000000"/>
          <w:shd w:val="clear" w:color="auto" w:fill="FFFFFF"/>
          <w:lang w:val="ru-RU"/>
        </w:rPr>
        <w:t>Налоговые ставки по налогу на имущество организаций устанавливаются законами субъектов Российской Федерации в пределах, определенных статьей 380 Кодекса, в зависимости от вида применяемой налоговой базы (среднегодовой или кадастровой стоимости).</w:t>
      </w:r>
    </w:p>
    <w:p w14:paraId="1D3B9183" w14:textId="2D21D21F" w:rsidR="006533D1" w:rsidRPr="006533D1" w:rsidRDefault="006533D1" w:rsidP="00683EB4">
      <w:pPr>
        <w:spacing w:after="160" w:line="259" w:lineRule="auto"/>
        <w:jc w:val="both"/>
        <w:rPr>
          <w:rFonts w:eastAsia="Times New Roman"/>
          <w:b/>
          <w:bCs/>
          <w:color w:val="000000"/>
          <w:shd w:val="clear" w:color="auto" w:fill="FFFFFF"/>
          <w:lang w:val="ru-RU"/>
        </w:rPr>
      </w:pPr>
      <w:r w:rsidRPr="006533D1">
        <w:rPr>
          <w:rFonts w:eastAsia="Times New Roman"/>
          <w:b/>
          <w:bCs/>
          <w:color w:val="000000"/>
          <w:shd w:val="clear" w:color="auto" w:fill="FFFFFF"/>
          <w:lang w:val="ru-RU"/>
        </w:rPr>
        <w:t>Налог на прибыль</w:t>
      </w:r>
    </w:p>
    <w:p w14:paraId="726C3707" w14:textId="0586C06A" w:rsidR="006533D1" w:rsidRDefault="006533D1" w:rsidP="00683EB4">
      <w:pPr>
        <w:spacing w:after="160" w:line="259" w:lineRule="auto"/>
        <w:jc w:val="both"/>
        <w:rPr>
          <w:rFonts w:eastAsia="Times New Roman"/>
          <w:color w:val="000000"/>
          <w:shd w:val="clear" w:color="auto" w:fill="FFFFFF"/>
          <w:lang w:val="ru-RU"/>
        </w:rPr>
      </w:pPr>
      <w:r w:rsidRPr="006533D1">
        <w:rPr>
          <w:rFonts w:eastAsia="Times New Roman"/>
          <w:color w:val="000000"/>
          <w:shd w:val="clear" w:color="auto" w:fill="FFFFFF"/>
          <w:lang w:val="ru-RU"/>
        </w:rPr>
        <w:t>•</w:t>
      </w:r>
      <w:r w:rsidRPr="006533D1">
        <w:rPr>
          <w:rFonts w:eastAsia="Times New Roman"/>
          <w:color w:val="000000"/>
          <w:shd w:val="clear" w:color="auto" w:fill="FFFFFF"/>
          <w:lang w:val="ru-RU"/>
        </w:rPr>
        <w:tab/>
        <w:t xml:space="preserve">имущество и имущественные права, полученные личным фондом от своих учредителей, обычно принимается к налоговому учету по стоимости, равной </w:t>
      </w:r>
      <w:r w:rsidRPr="006533D1">
        <w:rPr>
          <w:rFonts w:eastAsia="Times New Roman"/>
          <w:color w:val="000000"/>
          <w:shd w:val="clear" w:color="auto" w:fill="FFFFFF"/>
          <w:lang w:val="ru-RU"/>
        </w:rPr>
        <w:lastRenderedPageBreak/>
        <w:t>документально подтвержденным расходам на его приобретение (создание) у передающей стороны. Эта стоимость может быть учтена в расходах при продаже имущества. Если передающая сторона не может документально подтвердить стоимость передаваемого имущества (имущественных прав), она признается равной нулю (п. 1.1 ст. 277 НК РФ, Письмо Минфина России от 28.08.2025 N 03-03-06/1/84103)</w:t>
      </w:r>
    </w:p>
    <w:sectPr w:rsidR="00653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197"/>
    <w:multiLevelType w:val="multilevel"/>
    <w:tmpl w:val="EFFA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0B41B6"/>
    <w:multiLevelType w:val="hybridMultilevel"/>
    <w:tmpl w:val="FFA4F836"/>
    <w:lvl w:ilvl="0" w:tplc="62943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9C32D3F"/>
    <w:multiLevelType w:val="hybridMultilevel"/>
    <w:tmpl w:val="E3F23C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4A4EF3"/>
    <w:multiLevelType w:val="multilevel"/>
    <w:tmpl w:val="F0A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86841">
    <w:abstractNumId w:val="2"/>
  </w:num>
  <w:num w:numId="2" w16cid:durableId="1341858979">
    <w:abstractNumId w:val="1"/>
  </w:num>
  <w:num w:numId="3" w16cid:durableId="1662661495">
    <w:abstractNumId w:val="0"/>
  </w:num>
  <w:num w:numId="4" w16cid:durableId="189045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3B"/>
    <w:rsid w:val="000032E7"/>
    <w:rsid w:val="00014950"/>
    <w:rsid w:val="0003464E"/>
    <w:rsid w:val="00037AEC"/>
    <w:rsid w:val="000472D2"/>
    <w:rsid w:val="00064444"/>
    <w:rsid w:val="000732EE"/>
    <w:rsid w:val="00081D43"/>
    <w:rsid w:val="000B6EA1"/>
    <w:rsid w:val="000C215A"/>
    <w:rsid w:val="000C5FC2"/>
    <w:rsid w:val="000C6DDA"/>
    <w:rsid w:val="000E319F"/>
    <w:rsid w:val="000E73A9"/>
    <w:rsid w:val="000F0EDE"/>
    <w:rsid w:val="000F3AF3"/>
    <w:rsid w:val="0013038F"/>
    <w:rsid w:val="00144780"/>
    <w:rsid w:val="0015643B"/>
    <w:rsid w:val="00160B4D"/>
    <w:rsid w:val="0016216E"/>
    <w:rsid w:val="00170BEF"/>
    <w:rsid w:val="00172368"/>
    <w:rsid w:val="001763EF"/>
    <w:rsid w:val="00184D9E"/>
    <w:rsid w:val="00187D80"/>
    <w:rsid w:val="00191669"/>
    <w:rsid w:val="001A106B"/>
    <w:rsid w:val="001B5F39"/>
    <w:rsid w:val="001B704D"/>
    <w:rsid w:val="001D3FFD"/>
    <w:rsid w:val="001E128D"/>
    <w:rsid w:val="001E7E15"/>
    <w:rsid w:val="001F3364"/>
    <w:rsid w:val="001F3CF6"/>
    <w:rsid w:val="001F6557"/>
    <w:rsid w:val="001F7BB3"/>
    <w:rsid w:val="00234EB1"/>
    <w:rsid w:val="00241814"/>
    <w:rsid w:val="002478CB"/>
    <w:rsid w:val="00260D23"/>
    <w:rsid w:val="00261AFB"/>
    <w:rsid w:val="00267D8E"/>
    <w:rsid w:val="00276B73"/>
    <w:rsid w:val="00276C28"/>
    <w:rsid w:val="00293346"/>
    <w:rsid w:val="002B012D"/>
    <w:rsid w:val="002C3CF9"/>
    <w:rsid w:val="002C6D9C"/>
    <w:rsid w:val="002D7B4F"/>
    <w:rsid w:val="002D7ED5"/>
    <w:rsid w:val="00303003"/>
    <w:rsid w:val="003123FF"/>
    <w:rsid w:val="003261EA"/>
    <w:rsid w:val="00333B04"/>
    <w:rsid w:val="00341349"/>
    <w:rsid w:val="00357040"/>
    <w:rsid w:val="00360041"/>
    <w:rsid w:val="003623B0"/>
    <w:rsid w:val="003719A7"/>
    <w:rsid w:val="00380F32"/>
    <w:rsid w:val="00392CB9"/>
    <w:rsid w:val="003972B9"/>
    <w:rsid w:val="003B0928"/>
    <w:rsid w:val="003B5F4B"/>
    <w:rsid w:val="003B5FC0"/>
    <w:rsid w:val="003C3569"/>
    <w:rsid w:val="003C5238"/>
    <w:rsid w:val="003E2587"/>
    <w:rsid w:val="003E2F5B"/>
    <w:rsid w:val="003E3124"/>
    <w:rsid w:val="003F2691"/>
    <w:rsid w:val="00404908"/>
    <w:rsid w:val="00406211"/>
    <w:rsid w:val="00406F48"/>
    <w:rsid w:val="00414763"/>
    <w:rsid w:val="00414AF3"/>
    <w:rsid w:val="00433875"/>
    <w:rsid w:val="00442C6C"/>
    <w:rsid w:val="00445446"/>
    <w:rsid w:val="00445DA7"/>
    <w:rsid w:val="00467C7C"/>
    <w:rsid w:val="004870B1"/>
    <w:rsid w:val="0049367B"/>
    <w:rsid w:val="0049516C"/>
    <w:rsid w:val="004B3996"/>
    <w:rsid w:val="004B6FA2"/>
    <w:rsid w:val="0050095C"/>
    <w:rsid w:val="005214C9"/>
    <w:rsid w:val="00525FA3"/>
    <w:rsid w:val="00554C34"/>
    <w:rsid w:val="0056035F"/>
    <w:rsid w:val="00562023"/>
    <w:rsid w:val="00562B1C"/>
    <w:rsid w:val="0058599F"/>
    <w:rsid w:val="00586227"/>
    <w:rsid w:val="00586D3C"/>
    <w:rsid w:val="005957E4"/>
    <w:rsid w:val="005A105B"/>
    <w:rsid w:val="005B20AA"/>
    <w:rsid w:val="005B4E69"/>
    <w:rsid w:val="005B569A"/>
    <w:rsid w:val="005B642C"/>
    <w:rsid w:val="005C3BF3"/>
    <w:rsid w:val="0060207D"/>
    <w:rsid w:val="00621F84"/>
    <w:rsid w:val="00622F90"/>
    <w:rsid w:val="00625DEB"/>
    <w:rsid w:val="006375B4"/>
    <w:rsid w:val="00646F6F"/>
    <w:rsid w:val="00650573"/>
    <w:rsid w:val="006533D1"/>
    <w:rsid w:val="00672730"/>
    <w:rsid w:val="00683EB4"/>
    <w:rsid w:val="0068654F"/>
    <w:rsid w:val="006900FF"/>
    <w:rsid w:val="00695C65"/>
    <w:rsid w:val="006974D4"/>
    <w:rsid w:val="006C71B8"/>
    <w:rsid w:val="006D47E2"/>
    <w:rsid w:val="006F076C"/>
    <w:rsid w:val="006F5A50"/>
    <w:rsid w:val="00703AB1"/>
    <w:rsid w:val="00704433"/>
    <w:rsid w:val="00717F3D"/>
    <w:rsid w:val="0072105F"/>
    <w:rsid w:val="00722C43"/>
    <w:rsid w:val="0073709C"/>
    <w:rsid w:val="007479C3"/>
    <w:rsid w:val="007556ED"/>
    <w:rsid w:val="00760275"/>
    <w:rsid w:val="0076410B"/>
    <w:rsid w:val="00766E74"/>
    <w:rsid w:val="007A4638"/>
    <w:rsid w:val="007B7A3A"/>
    <w:rsid w:val="007D1337"/>
    <w:rsid w:val="007E5CAD"/>
    <w:rsid w:val="0080423B"/>
    <w:rsid w:val="00810161"/>
    <w:rsid w:val="00831974"/>
    <w:rsid w:val="008508BE"/>
    <w:rsid w:val="00851DF7"/>
    <w:rsid w:val="008546E9"/>
    <w:rsid w:val="008737FD"/>
    <w:rsid w:val="0088350A"/>
    <w:rsid w:val="008C7AC1"/>
    <w:rsid w:val="008D6F8E"/>
    <w:rsid w:val="008E0CCD"/>
    <w:rsid w:val="008E51CD"/>
    <w:rsid w:val="00902BE3"/>
    <w:rsid w:val="00937E2D"/>
    <w:rsid w:val="00960B1E"/>
    <w:rsid w:val="00961A69"/>
    <w:rsid w:val="00967376"/>
    <w:rsid w:val="009811F5"/>
    <w:rsid w:val="00984949"/>
    <w:rsid w:val="009953F3"/>
    <w:rsid w:val="00995759"/>
    <w:rsid w:val="009E4C9C"/>
    <w:rsid w:val="009F5774"/>
    <w:rsid w:val="00A068FB"/>
    <w:rsid w:val="00A16F9C"/>
    <w:rsid w:val="00A2047C"/>
    <w:rsid w:val="00A47758"/>
    <w:rsid w:val="00A55C2A"/>
    <w:rsid w:val="00A60EC1"/>
    <w:rsid w:val="00A60F60"/>
    <w:rsid w:val="00A754AC"/>
    <w:rsid w:val="00A75F08"/>
    <w:rsid w:val="00A84E95"/>
    <w:rsid w:val="00A876BD"/>
    <w:rsid w:val="00AA63F6"/>
    <w:rsid w:val="00AA68C8"/>
    <w:rsid w:val="00B00CE3"/>
    <w:rsid w:val="00B02CCF"/>
    <w:rsid w:val="00B14A46"/>
    <w:rsid w:val="00B25A5D"/>
    <w:rsid w:val="00B33834"/>
    <w:rsid w:val="00B33AD8"/>
    <w:rsid w:val="00B3689F"/>
    <w:rsid w:val="00B44C3E"/>
    <w:rsid w:val="00B502F9"/>
    <w:rsid w:val="00B5585A"/>
    <w:rsid w:val="00B605C0"/>
    <w:rsid w:val="00B83BF8"/>
    <w:rsid w:val="00BA215B"/>
    <w:rsid w:val="00BB235F"/>
    <w:rsid w:val="00BC2F8C"/>
    <w:rsid w:val="00BC3D94"/>
    <w:rsid w:val="00BC5E72"/>
    <w:rsid w:val="00BD450B"/>
    <w:rsid w:val="00BE0D74"/>
    <w:rsid w:val="00BF0355"/>
    <w:rsid w:val="00BF23E2"/>
    <w:rsid w:val="00BF2A50"/>
    <w:rsid w:val="00BF454E"/>
    <w:rsid w:val="00C1023A"/>
    <w:rsid w:val="00C107C6"/>
    <w:rsid w:val="00C13DE0"/>
    <w:rsid w:val="00C16F40"/>
    <w:rsid w:val="00C220F9"/>
    <w:rsid w:val="00C34B4F"/>
    <w:rsid w:val="00C52964"/>
    <w:rsid w:val="00C61E10"/>
    <w:rsid w:val="00C62872"/>
    <w:rsid w:val="00C97669"/>
    <w:rsid w:val="00CC0C90"/>
    <w:rsid w:val="00CD3DAE"/>
    <w:rsid w:val="00CF6B07"/>
    <w:rsid w:val="00D052E3"/>
    <w:rsid w:val="00D2370C"/>
    <w:rsid w:val="00D273FE"/>
    <w:rsid w:val="00D31C80"/>
    <w:rsid w:val="00D351BE"/>
    <w:rsid w:val="00D40989"/>
    <w:rsid w:val="00D5109A"/>
    <w:rsid w:val="00D60757"/>
    <w:rsid w:val="00D67771"/>
    <w:rsid w:val="00D80F94"/>
    <w:rsid w:val="00DA14ED"/>
    <w:rsid w:val="00DB7A73"/>
    <w:rsid w:val="00DC100B"/>
    <w:rsid w:val="00DC4894"/>
    <w:rsid w:val="00DD3940"/>
    <w:rsid w:val="00DD43FD"/>
    <w:rsid w:val="00DD6874"/>
    <w:rsid w:val="00E0087F"/>
    <w:rsid w:val="00E008AF"/>
    <w:rsid w:val="00E02898"/>
    <w:rsid w:val="00E30034"/>
    <w:rsid w:val="00E36982"/>
    <w:rsid w:val="00E41326"/>
    <w:rsid w:val="00E53E37"/>
    <w:rsid w:val="00E958D9"/>
    <w:rsid w:val="00ED42D7"/>
    <w:rsid w:val="00EE5083"/>
    <w:rsid w:val="00F06AAF"/>
    <w:rsid w:val="00F1112E"/>
    <w:rsid w:val="00F14AA4"/>
    <w:rsid w:val="00F20F6B"/>
    <w:rsid w:val="00F46D91"/>
    <w:rsid w:val="00F6312A"/>
    <w:rsid w:val="00F77BDC"/>
    <w:rsid w:val="00F80D76"/>
    <w:rsid w:val="00F91692"/>
    <w:rsid w:val="00F95DC2"/>
    <w:rsid w:val="00FE007B"/>
    <w:rsid w:val="00FF471A"/>
    <w:rsid w:val="00FF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8208"/>
  <w15:chartTrackingRefBased/>
  <w15:docId w15:val="{720FCAFA-EA21-4C74-81F2-0E66D80A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67B"/>
    <w:pPr>
      <w:spacing w:after="0" w:line="276" w:lineRule="auto"/>
    </w:pPr>
    <w:rPr>
      <w:rFonts w:ascii="Arial" w:eastAsia="Arial" w:hAnsi="Arial" w:cs="Arial"/>
      <w:kern w:val="0"/>
      <w:lang w:val="ru" w:eastAsia="ru-RU"/>
      <w14:ligatures w14:val="none"/>
    </w:rPr>
  </w:style>
  <w:style w:type="paragraph" w:styleId="1">
    <w:name w:val="heading 1"/>
    <w:basedOn w:val="a"/>
    <w:next w:val="a"/>
    <w:link w:val="10"/>
    <w:uiPriority w:val="9"/>
    <w:qFormat/>
    <w:rsid w:val="0015643B"/>
    <w:pPr>
      <w:keepNext/>
      <w:keepLines/>
      <w:spacing w:before="400" w:after="120"/>
      <w:outlineLvl w:val="0"/>
    </w:pPr>
    <w:rPr>
      <w:sz w:val="40"/>
      <w:szCs w:val="40"/>
    </w:rPr>
  </w:style>
  <w:style w:type="paragraph" w:styleId="2">
    <w:name w:val="heading 2"/>
    <w:basedOn w:val="a"/>
    <w:next w:val="a"/>
    <w:link w:val="20"/>
    <w:uiPriority w:val="9"/>
    <w:unhideWhenUsed/>
    <w:qFormat/>
    <w:rsid w:val="0015643B"/>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43B"/>
    <w:rPr>
      <w:rFonts w:ascii="Arial" w:eastAsia="Arial" w:hAnsi="Arial" w:cs="Arial"/>
      <w:kern w:val="0"/>
      <w:sz w:val="40"/>
      <w:szCs w:val="40"/>
      <w:lang w:val="ru" w:eastAsia="ru-RU"/>
      <w14:ligatures w14:val="none"/>
    </w:rPr>
  </w:style>
  <w:style w:type="character" w:customStyle="1" w:styleId="20">
    <w:name w:val="Заголовок 2 Знак"/>
    <w:basedOn w:val="a0"/>
    <w:link w:val="2"/>
    <w:uiPriority w:val="9"/>
    <w:rsid w:val="0015643B"/>
    <w:rPr>
      <w:rFonts w:ascii="Arial" w:eastAsia="Arial" w:hAnsi="Arial" w:cs="Arial"/>
      <w:kern w:val="0"/>
      <w:sz w:val="32"/>
      <w:szCs w:val="32"/>
      <w:lang w:val="ru" w:eastAsia="ru-RU"/>
      <w14:ligatures w14:val="none"/>
    </w:rPr>
  </w:style>
  <w:style w:type="character" w:styleId="a3">
    <w:name w:val="Hyperlink"/>
    <w:basedOn w:val="a0"/>
    <w:uiPriority w:val="99"/>
    <w:unhideWhenUsed/>
    <w:rsid w:val="00C34B4F"/>
    <w:rPr>
      <w:color w:val="0000FF"/>
      <w:u w:val="single"/>
    </w:rPr>
  </w:style>
  <w:style w:type="character" w:styleId="a4">
    <w:name w:val="FollowedHyperlink"/>
    <w:basedOn w:val="a0"/>
    <w:uiPriority w:val="99"/>
    <w:semiHidden/>
    <w:unhideWhenUsed/>
    <w:rsid w:val="00C34B4F"/>
    <w:rPr>
      <w:color w:val="954F72" w:themeColor="followedHyperlink"/>
      <w:u w:val="single"/>
    </w:rPr>
  </w:style>
  <w:style w:type="character" w:styleId="a5">
    <w:name w:val="Unresolved Mention"/>
    <w:basedOn w:val="a0"/>
    <w:uiPriority w:val="99"/>
    <w:semiHidden/>
    <w:unhideWhenUsed/>
    <w:rsid w:val="00646F6F"/>
    <w:rPr>
      <w:color w:val="605E5C"/>
      <w:shd w:val="clear" w:color="auto" w:fill="E1DFDD"/>
    </w:rPr>
  </w:style>
  <w:style w:type="character" w:customStyle="1" w:styleId="docdata">
    <w:name w:val="docdata"/>
    <w:aliases w:val="docy,v5,1846,bqiaagaaeyqcaaagiaiaaanpbaaabv0eaaaaaaaaaaaaaaaaaaaaaaaaaaaaaaaaaaaaaaaaaaaaaaaaaaaaaaaaaaaaaaaaaaaaaaaaaaaaaaaaaaaaaaaaaaaaaaaaaaaaaaaaaaaaaaaaaaaaaaaaaaaaaaaaaaaaaaaaaaaaaaaaaaaaaaaaaaaaaaaaaaaaaaaaaaaaaaaaaaaaaaaaaaaaaaaaaaaaaaaa"/>
    <w:basedOn w:val="a0"/>
    <w:rsid w:val="00191669"/>
  </w:style>
  <w:style w:type="paragraph" w:styleId="a6">
    <w:name w:val="Normal (Web)"/>
    <w:basedOn w:val="a"/>
    <w:uiPriority w:val="99"/>
    <w:unhideWhenUsed/>
    <w:rsid w:val="0056035F"/>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7">
    <w:name w:val="List Paragraph"/>
    <w:basedOn w:val="a"/>
    <w:uiPriority w:val="34"/>
    <w:qFormat/>
    <w:rsid w:val="004B3996"/>
    <w:pPr>
      <w:ind w:left="720"/>
      <w:contextualSpacing/>
    </w:pPr>
  </w:style>
  <w:style w:type="character" w:styleId="a8">
    <w:name w:val="Strong"/>
    <w:basedOn w:val="a0"/>
    <w:uiPriority w:val="22"/>
    <w:qFormat/>
    <w:rsid w:val="00F77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8794">
      <w:bodyDiv w:val="1"/>
      <w:marLeft w:val="0"/>
      <w:marRight w:val="0"/>
      <w:marTop w:val="0"/>
      <w:marBottom w:val="0"/>
      <w:divBdr>
        <w:top w:val="none" w:sz="0" w:space="0" w:color="auto"/>
        <w:left w:val="none" w:sz="0" w:space="0" w:color="auto"/>
        <w:bottom w:val="none" w:sz="0" w:space="0" w:color="auto"/>
        <w:right w:val="none" w:sz="0" w:space="0" w:color="auto"/>
      </w:divBdr>
    </w:div>
    <w:div w:id="257568308">
      <w:bodyDiv w:val="1"/>
      <w:marLeft w:val="0"/>
      <w:marRight w:val="0"/>
      <w:marTop w:val="0"/>
      <w:marBottom w:val="0"/>
      <w:divBdr>
        <w:top w:val="none" w:sz="0" w:space="0" w:color="auto"/>
        <w:left w:val="none" w:sz="0" w:space="0" w:color="auto"/>
        <w:bottom w:val="none" w:sz="0" w:space="0" w:color="auto"/>
        <w:right w:val="none" w:sz="0" w:space="0" w:color="auto"/>
      </w:divBdr>
    </w:div>
    <w:div w:id="440685177">
      <w:bodyDiv w:val="1"/>
      <w:marLeft w:val="0"/>
      <w:marRight w:val="0"/>
      <w:marTop w:val="0"/>
      <w:marBottom w:val="0"/>
      <w:divBdr>
        <w:top w:val="none" w:sz="0" w:space="0" w:color="auto"/>
        <w:left w:val="none" w:sz="0" w:space="0" w:color="auto"/>
        <w:bottom w:val="none" w:sz="0" w:space="0" w:color="auto"/>
        <w:right w:val="none" w:sz="0" w:space="0" w:color="auto"/>
      </w:divBdr>
    </w:div>
    <w:div w:id="443425995">
      <w:bodyDiv w:val="1"/>
      <w:marLeft w:val="0"/>
      <w:marRight w:val="0"/>
      <w:marTop w:val="0"/>
      <w:marBottom w:val="0"/>
      <w:divBdr>
        <w:top w:val="none" w:sz="0" w:space="0" w:color="auto"/>
        <w:left w:val="none" w:sz="0" w:space="0" w:color="auto"/>
        <w:bottom w:val="none" w:sz="0" w:space="0" w:color="auto"/>
        <w:right w:val="none" w:sz="0" w:space="0" w:color="auto"/>
      </w:divBdr>
    </w:div>
    <w:div w:id="504172231">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80531797">
      <w:bodyDiv w:val="1"/>
      <w:marLeft w:val="0"/>
      <w:marRight w:val="0"/>
      <w:marTop w:val="0"/>
      <w:marBottom w:val="0"/>
      <w:divBdr>
        <w:top w:val="none" w:sz="0" w:space="0" w:color="auto"/>
        <w:left w:val="none" w:sz="0" w:space="0" w:color="auto"/>
        <w:bottom w:val="none" w:sz="0" w:space="0" w:color="auto"/>
        <w:right w:val="none" w:sz="0" w:space="0" w:color="auto"/>
      </w:divBdr>
    </w:div>
    <w:div w:id="607468255">
      <w:bodyDiv w:val="1"/>
      <w:marLeft w:val="0"/>
      <w:marRight w:val="0"/>
      <w:marTop w:val="0"/>
      <w:marBottom w:val="0"/>
      <w:divBdr>
        <w:top w:val="none" w:sz="0" w:space="0" w:color="auto"/>
        <w:left w:val="none" w:sz="0" w:space="0" w:color="auto"/>
        <w:bottom w:val="none" w:sz="0" w:space="0" w:color="auto"/>
        <w:right w:val="none" w:sz="0" w:space="0" w:color="auto"/>
      </w:divBdr>
    </w:div>
    <w:div w:id="741416021">
      <w:bodyDiv w:val="1"/>
      <w:marLeft w:val="0"/>
      <w:marRight w:val="0"/>
      <w:marTop w:val="0"/>
      <w:marBottom w:val="0"/>
      <w:divBdr>
        <w:top w:val="none" w:sz="0" w:space="0" w:color="auto"/>
        <w:left w:val="none" w:sz="0" w:space="0" w:color="auto"/>
        <w:bottom w:val="none" w:sz="0" w:space="0" w:color="auto"/>
        <w:right w:val="none" w:sz="0" w:space="0" w:color="auto"/>
      </w:divBdr>
    </w:div>
    <w:div w:id="1197036143">
      <w:bodyDiv w:val="1"/>
      <w:marLeft w:val="0"/>
      <w:marRight w:val="0"/>
      <w:marTop w:val="0"/>
      <w:marBottom w:val="0"/>
      <w:divBdr>
        <w:top w:val="none" w:sz="0" w:space="0" w:color="auto"/>
        <w:left w:val="none" w:sz="0" w:space="0" w:color="auto"/>
        <w:bottom w:val="none" w:sz="0" w:space="0" w:color="auto"/>
        <w:right w:val="none" w:sz="0" w:space="0" w:color="auto"/>
      </w:divBdr>
      <w:divsChild>
        <w:div w:id="1987709401">
          <w:marLeft w:val="0"/>
          <w:marRight w:val="0"/>
          <w:marTop w:val="375"/>
          <w:marBottom w:val="225"/>
          <w:divBdr>
            <w:top w:val="none" w:sz="0" w:space="0" w:color="auto"/>
            <w:left w:val="none" w:sz="0" w:space="0" w:color="auto"/>
            <w:bottom w:val="none" w:sz="0" w:space="0" w:color="auto"/>
            <w:right w:val="none" w:sz="0" w:space="0" w:color="auto"/>
          </w:divBdr>
        </w:div>
      </w:divsChild>
    </w:div>
    <w:div w:id="1249652075">
      <w:bodyDiv w:val="1"/>
      <w:marLeft w:val="0"/>
      <w:marRight w:val="0"/>
      <w:marTop w:val="0"/>
      <w:marBottom w:val="0"/>
      <w:divBdr>
        <w:top w:val="none" w:sz="0" w:space="0" w:color="auto"/>
        <w:left w:val="none" w:sz="0" w:space="0" w:color="auto"/>
        <w:bottom w:val="none" w:sz="0" w:space="0" w:color="auto"/>
        <w:right w:val="none" w:sz="0" w:space="0" w:color="auto"/>
      </w:divBdr>
    </w:div>
    <w:div w:id="1293093116">
      <w:bodyDiv w:val="1"/>
      <w:marLeft w:val="0"/>
      <w:marRight w:val="0"/>
      <w:marTop w:val="0"/>
      <w:marBottom w:val="0"/>
      <w:divBdr>
        <w:top w:val="none" w:sz="0" w:space="0" w:color="auto"/>
        <w:left w:val="none" w:sz="0" w:space="0" w:color="auto"/>
        <w:bottom w:val="none" w:sz="0" w:space="0" w:color="auto"/>
        <w:right w:val="none" w:sz="0" w:space="0" w:color="auto"/>
      </w:divBdr>
    </w:div>
    <w:div w:id="1336616864">
      <w:bodyDiv w:val="1"/>
      <w:marLeft w:val="0"/>
      <w:marRight w:val="0"/>
      <w:marTop w:val="0"/>
      <w:marBottom w:val="0"/>
      <w:divBdr>
        <w:top w:val="none" w:sz="0" w:space="0" w:color="auto"/>
        <w:left w:val="none" w:sz="0" w:space="0" w:color="auto"/>
        <w:bottom w:val="none" w:sz="0" w:space="0" w:color="auto"/>
        <w:right w:val="none" w:sz="0" w:space="0" w:color="auto"/>
      </w:divBdr>
      <w:divsChild>
        <w:div w:id="1853372999">
          <w:marLeft w:val="0"/>
          <w:marRight w:val="0"/>
          <w:marTop w:val="375"/>
          <w:marBottom w:val="225"/>
          <w:divBdr>
            <w:top w:val="none" w:sz="0" w:space="0" w:color="auto"/>
            <w:left w:val="none" w:sz="0" w:space="0" w:color="auto"/>
            <w:bottom w:val="none" w:sz="0" w:space="0" w:color="auto"/>
            <w:right w:val="none" w:sz="0" w:space="0" w:color="auto"/>
          </w:divBdr>
        </w:div>
      </w:divsChild>
    </w:div>
    <w:div w:id="1602641170">
      <w:bodyDiv w:val="1"/>
      <w:marLeft w:val="0"/>
      <w:marRight w:val="0"/>
      <w:marTop w:val="0"/>
      <w:marBottom w:val="0"/>
      <w:divBdr>
        <w:top w:val="none" w:sz="0" w:space="0" w:color="auto"/>
        <w:left w:val="none" w:sz="0" w:space="0" w:color="auto"/>
        <w:bottom w:val="none" w:sz="0" w:space="0" w:color="auto"/>
        <w:right w:val="none" w:sz="0" w:space="0" w:color="auto"/>
      </w:divBdr>
    </w:div>
    <w:div w:id="1704014364">
      <w:bodyDiv w:val="1"/>
      <w:marLeft w:val="0"/>
      <w:marRight w:val="0"/>
      <w:marTop w:val="0"/>
      <w:marBottom w:val="0"/>
      <w:divBdr>
        <w:top w:val="none" w:sz="0" w:space="0" w:color="auto"/>
        <w:left w:val="none" w:sz="0" w:space="0" w:color="auto"/>
        <w:bottom w:val="none" w:sz="0" w:space="0" w:color="auto"/>
        <w:right w:val="none" w:sz="0" w:space="0" w:color="auto"/>
      </w:divBdr>
    </w:div>
    <w:div w:id="1709648860">
      <w:bodyDiv w:val="1"/>
      <w:marLeft w:val="0"/>
      <w:marRight w:val="0"/>
      <w:marTop w:val="0"/>
      <w:marBottom w:val="0"/>
      <w:divBdr>
        <w:top w:val="none" w:sz="0" w:space="0" w:color="auto"/>
        <w:left w:val="none" w:sz="0" w:space="0" w:color="auto"/>
        <w:bottom w:val="none" w:sz="0" w:space="0" w:color="auto"/>
        <w:right w:val="none" w:sz="0" w:space="0" w:color="auto"/>
      </w:divBdr>
    </w:div>
    <w:div w:id="1726563077">
      <w:bodyDiv w:val="1"/>
      <w:marLeft w:val="0"/>
      <w:marRight w:val="0"/>
      <w:marTop w:val="0"/>
      <w:marBottom w:val="0"/>
      <w:divBdr>
        <w:top w:val="none" w:sz="0" w:space="0" w:color="auto"/>
        <w:left w:val="none" w:sz="0" w:space="0" w:color="auto"/>
        <w:bottom w:val="none" w:sz="0" w:space="0" w:color="auto"/>
        <w:right w:val="none" w:sz="0" w:space="0" w:color="auto"/>
      </w:divBdr>
    </w:div>
    <w:div w:id="1926961417">
      <w:bodyDiv w:val="1"/>
      <w:marLeft w:val="0"/>
      <w:marRight w:val="0"/>
      <w:marTop w:val="0"/>
      <w:marBottom w:val="0"/>
      <w:divBdr>
        <w:top w:val="none" w:sz="0" w:space="0" w:color="auto"/>
        <w:left w:val="none" w:sz="0" w:space="0" w:color="auto"/>
        <w:bottom w:val="none" w:sz="0" w:space="0" w:color="auto"/>
        <w:right w:val="none" w:sz="0" w:space="0" w:color="auto"/>
      </w:divBdr>
    </w:div>
    <w:div w:id="2026057446">
      <w:bodyDiv w:val="1"/>
      <w:marLeft w:val="0"/>
      <w:marRight w:val="0"/>
      <w:marTop w:val="0"/>
      <w:marBottom w:val="0"/>
      <w:divBdr>
        <w:top w:val="none" w:sz="0" w:space="0" w:color="auto"/>
        <w:left w:val="none" w:sz="0" w:space="0" w:color="auto"/>
        <w:bottom w:val="none" w:sz="0" w:space="0" w:color="auto"/>
        <w:right w:val="none" w:sz="0" w:space="0" w:color="auto"/>
      </w:divBdr>
    </w:div>
    <w:div w:id="2120879007">
      <w:bodyDiv w:val="1"/>
      <w:marLeft w:val="0"/>
      <w:marRight w:val="0"/>
      <w:marTop w:val="0"/>
      <w:marBottom w:val="0"/>
      <w:divBdr>
        <w:top w:val="none" w:sz="0" w:space="0" w:color="auto"/>
        <w:left w:val="none" w:sz="0" w:space="0" w:color="auto"/>
        <w:bottom w:val="none" w:sz="0" w:space="0" w:color="auto"/>
        <w:right w:val="none" w:sz="0" w:space="0" w:color="auto"/>
      </w:divBdr>
    </w:div>
    <w:div w:id="21349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s.dev.ss.aservices.tech/" TargetMode="External"/><Relationship Id="rId3" Type="http://schemas.openxmlformats.org/officeDocument/2006/relationships/settings" Target="settings.xml"/><Relationship Id="rId7" Type="http://schemas.openxmlformats.org/officeDocument/2006/relationships/hyperlink" Target="https://bss.dev.ss.aservices.t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s.dev.ss.aservices.tech/" TargetMode="External"/><Relationship Id="rId11" Type="http://schemas.openxmlformats.org/officeDocument/2006/relationships/fontTable" Target="fontTable.xml"/><Relationship Id="rId5" Type="http://schemas.openxmlformats.org/officeDocument/2006/relationships/hyperlink" Target="https://bss.dev.ss.aservices.tech/" TargetMode="External"/><Relationship Id="rId10" Type="http://schemas.openxmlformats.org/officeDocument/2006/relationships/hyperlink" Target="https://bss.dev.ss.aservices.tech/" TargetMode="External"/><Relationship Id="rId4" Type="http://schemas.openxmlformats.org/officeDocument/2006/relationships/webSettings" Target="webSettings.xml"/><Relationship Id="rId9" Type="http://schemas.openxmlformats.org/officeDocument/2006/relationships/hyperlink" Target="https://bss.dev.ss.aservices.t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8</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Савкова</dc:creator>
  <cp:keywords/>
  <dc:description/>
  <cp:lastModifiedBy>Людмила Савкова</cp:lastModifiedBy>
  <cp:revision>149</cp:revision>
  <cp:lastPrinted>2023-10-17T05:15:00Z</cp:lastPrinted>
  <dcterms:created xsi:type="dcterms:W3CDTF">2025-02-18T06:10:00Z</dcterms:created>
  <dcterms:modified xsi:type="dcterms:W3CDTF">2025-10-14T08:27:00Z</dcterms:modified>
</cp:coreProperties>
</file>