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627F" w14:textId="0477F030" w:rsidR="006531B6" w:rsidRPr="007A3B62" w:rsidRDefault="006531B6" w:rsidP="00A350CE">
      <w:pPr>
        <w:ind w:firstLine="708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Вопросы к вебинару 14 октября 2025 г. (вторник)</w:t>
      </w:r>
    </w:p>
    <w:p w14:paraId="6935742E" w14:textId="77777777" w:rsidR="006531B6" w:rsidRPr="007A3B62" w:rsidRDefault="006531B6" w:rsidP="00A350CE">
      <w:pPr>
        <w:ind w:firstLine="708"/>
        <w:jc w:val="center"/>
        <w:rPr>
          <w:rFonts w:ascii="Times New Roman" w:hAnsi="Times New Roman" w:cs="Times New Roman"/>
          <w:b/>
          <w:sz w:val="36"/>
        </w:rPr>
      </w:pPr>
    </w:p>
    <w:p w14:paraId="42B704F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b/>
          <w:sz w:val="36"/>
        </w:rPr>
        <w:t>1. Надежда Владимировна С.</w:t>
      </w:r>
    </w:p>
    <w:p w14:paraId="0245718A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3D21626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1) Вопрос по учёту членских взносов</w:t>
      </w:r>
    </w:p>
    <w:p w14:paraId="44C89D6D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Если организация работает по кассовому методу – взносы пришли – начислили, не пришли – не начислили. Тогда у нас не формируется дебиторская задолженность, а у членов не формируется кредиторская.</w:t>
      </w:r>
    </w:p>
    <w:p w14:paraId="5F4C3C2E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А если мы просим оплатить взносы за прошлые года – 2024, 2023, 2022 – у нас такая задолженность не подкреплена ничем – нет ни акта сверки, ни начислений.</w:t>
      </w:r>
    </w:p>
    <w:p w14:paraId="0AADABE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быть в такой ситуации и как правильно отражать задолженность по членским взносам, чтобы она была реальной к взысканию, а не повисла как долги, которые не будут никогда погашены?</w:t>
      </w:r>
    </w:p>
    <w:p w14:paraId="43A83B58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построить работу с членами на этот счёт?</w:t>
      </w:r>
    </w:p>
    <w:p w14:paraId="27F97FEE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Ситуация – ассоциация начисляет взносы в момент прихода средств (кассовым метод)</w:t>
      </w:r>
    </w:p>
    <w:p w14:paraId="29AD829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быть со взносами за прошлые периоды 2022, 2023, 2024 года.</w:t>
      </w:r>
    </w:p>
    <w:p w14:paraId="0077860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Компании просят акт сверки взаиморасчётов.</w:t>
      </w:r>
    </w:p>
    <w:p w14:paraId="045D12E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Имеем ли мы право начислить членские взносы за прошлый период в текущем году:</w:t>
      </w:r>
    </w:p>
    <w:p w14:paraId="01AB24C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Начислены членские взносы за 2024 г. – дата проводки 30.09.2025</w:t>
      </w:r>
    </w:p>
    <w:p w14:paraId="1DADB04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 тогда как будет выглядеть акт сверки – ведь это будет акт сверки только за текущий год за 2025?</w:t>
      </w:r>
    </w:p>
    <w:p w14:paraId="2B4F614B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Мы же не можем, если у нас не было начислений в 2022 г. сделать акт сверки за 2022 г.?</w:t>
      </w:r>
    </w:p>
    <w:p w14:paraId="1F5451B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lastRenderedPageBreak/>
        <w:t> Либо же мы можем работать только по текущему году?</w:t>
      </w:r>
    </w:p>
    <w:p w14:paraId="00CEA5CE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 Как быть в такой ситуации. когда и взносы членские собрать нужно и не было отражения задолженность за прошлый период?</w:t>
      </w:r>
    </w:p>
    <w:p w14:paraId="12BB93A6" w14:textId="0846028F" w:rsidR="006531B6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 А если начислять задолженность по взносам, то будет большая задолженность по неуплате взносов.</w:t>
      </w:r>
    </w:p>
    <w:p w14:paraId="00DCE65E" w14:textId="357E6364" w:rsidR="006C115C" w:rsidRDefault="006C115C" w:rsidP="00A350CE">
      <w:pPr>
        <w:ind w:firstLine="708"/>
        <w:jc w:val="both"/>
        <w:rPr>
          <w:rFonts w:ascii="Calibri" w:eastAsia="Calibri" w:hAnsi="Calibri" w:cs="Calibri"/>
        </w:rPr>
      </w:pPr>
    </w:p>
    <w:p w14:paraId="4CB7B27E" w14:textId="0B6E620F" w:rsidR="006C115C" w:rsidRPr="00B13A6D" w:rsidRDefault="003D49D4" w:rsidP="00A350CE">
      <w:pPr>
        <w:ind w:firstLine="708"/>
        <w:jc w:val="both"/>
        <w:rPr>
          <w:rFonts w:ascii="Calibri" w:eastAsia="Calibri" w:hAnsi="Calibri" w:cs="Calibri"/>
          <w:color w:val="0070C0"/>
        </w:rPr>
      </w:pPr>
      <w:r w:rsidRPr="00B13A6D">
        <w:rPr>
          <w:rFonts w:ascii="Calibri" w:eastAsia="Calibri" w:hAnsi="Calibri" w:cs="Calibri"/>
          <w:color w:val="0070C0"/>
        </w:rPr>
        <w:t>Налоговый учет:</w:t>
      </w:r>
    </w:p>
    <w:p w14:paraId="3B5BCB1E" w14:textId="6AACEF84" w:rsidR="003D49D4" w:rsidRPr="00B13A6D" w:rsidRDefault="00CD23D2" w:rsidP="00A350CE">
      <w:pPr>
        <w:ind w:firstLine="708"/>
        <w:jc w:val="both"/>
        <w:rPr>
          <w:rFonts w:ascii="Calibri" w:eastAsia="Calibri" w:hAnsi="Calibri" w:cs="Calibri"/>
          <w:color w:val="0070C0"/>
        </w:rPr>
      </w:pPr>
      <w:r w:rsidRPr="00B13A6D">
        <w:rPr>
          <w:rFonts w:ascii="Calibri" w:eastAsia="Calibri" w:hAnsi="Calibri" w:cs="Calibri"/>
          <w:color w:val="0070C0"/>
        </w:rPr>
        <w:t>Кассовый метод в налоговом учете — это метод признания доходов и расходов фактической датой поступления денег или списания оплаты (ст. 273 НК).</w:t>
      </w:r>
    </w:p>
    <w:p w14:paraId="1A6CB5EC" w14:textId="77777777" w:rsidR="00B13A6D" w:rsidRPr="00B13A6D" w:rsidRDefault="00B13A6D" w:rsidP="00A350CE">
      <w:pPr>
        <w:ind w:firstLine="708"/>
        <w:jc w:val="both"/>
        <w:rPr>
          <w:color w:val="0070C0"/>
          <w:sz w:val="20"/>
          <w:szCs w:val="20"/>
        </w:rPr>
      </w:pPr>
      <w:r w:rsidRPr="00B13A6D">
        <w:rPr>
          <w:color w:val="0070C0"/>
          <w:sz w:val="20"/>
          <w:szCs w:val="20"/>
        </w:rPr>
        <w:t>Организации (за исключением банков, кредитных потребительских кооперативов и микрофинансовых организаций, организаций, признаваемых в соответствии с настоящим Кодексом контролирующими лицами контролируемых иностранных компаний, и налогоплательщиков, указанных в пункте 1 статьи 275.2 настоящего Кодекса) имеют право на определение даты получения дохода (осуществления расхода) по кассовому методу, если в среднем за предыдущие четыре квартала сумма выручки от реализации товаров (работ, услуг) этих организаций без учета налога на добавленную стоимость не превысила одного миллиона рублей за каждый квартал.</w:t>
      </w:r>
    </w:p>
    <w:p w14:paraId="111FF3A4" w14:textId="1A12843B" w:rsidR="00CD23D2" w:rsidRPr="00B13A6D" w:rsidRDefault="00CD23D2" w:rsidP="00A350CE">
      <w:pPr>
        <w:ind w:firstLine="708"/>
        <w:jc w:val="both"/>
        <w:rPr>
          <w:rFonts w:ascii="Calibri" w:eastAsia="Calibri" w:hAnsi="Calibri" w:cs="Calibri"/>
          <w:color w:val="0070C0"/>
          <w:sz w:val="20"/>
          <w:szCs w:val="20"/>
        </w:rPr>
      </w:pPr>
      <w:r w:rsidRPr="00B13A6D">
        <w:rPr>
          <w:color w:val="0070C0"/>
          <w:sz w:val="20"/>
          <w:szCs w:val="20"/>
        </w:rPr>
        <w:t xml:space="preserve">Кассовым методом </w:t>
      </w:r>
      <w:r w:rsidR="00B13A6D" w:rsidRPr="00B13A6D">
        <w:rPr>
          <w:color w:val="0070C0"/>
          <w:sz w:val="20"/>
          <w:szCs w:val="20"/>
        </w:rPr>
        <w:t xml:space="preserve">также </w:t>
      </w:r>
      <w:r w:rsidRPr="00B13A6D">
        <w:rPr>
          <w:color w:val="0070C0"/>
          <w:sz w:val="20"/>
          <w:szCs w:val="20"/>
        </w:rPr>
        <w:t>считаются доходы и расходы на упрощенном режиме налогообложения.</w:t>
      </w:r>
    </w:p>
    <w:p w14:paraId="567EEDC6" w14:textId="5E749686" w:rsidR="006C115C" w:rsidRDefault="006C115C" w:rsidP="00A350CE">
      <w:pPr>
        <w:ind w:firstLine="708"/>
        <w:jc w:val="both"/>
        <w:rPr>
          <w:rFonts w:ascii="Calibri" w:eastAsia="Calibri" w:hAnsi="Calibri" w:cs="Calibri"/>
        </w:rPr>
      </w:pPr>
    </w:p>
    <w:p w14:paraId="39BF8B77" w14:textId="3FAC8D30" w:rsidR="006C115C" w:rsidRPr="00497F3D" w:rsidRDefault="00497F3D" w:rsidP="00A350CE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 xml:space="preserve">В то же время бухгалтерская отчетность формируется на основании данных бухгалтерского учета, рассчитанных методом начисления: </w:t>
      </w:r>
      <w:r w:rsidRPr="00497F3D">
        <w:rPr>
          <w:rFonts w:ascii="Calibri" w:eastAsia="Calibri" w:hAnsi="Calibri" w:cs="Calibri"/>
          <w:color w:val="FF0000"/>
          <w:sz w:val="24"/>
          <w:szCs w:val="24"/>
        </w:rPr>
        <w:t xml:space="preserve">факты хозяйственной деятельности организации относятся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 </w:t>
      </w:r>
      <w:r w:rsidRPr="00497F3D">
        <w:rPr>
          <w:rFonts w:ascii="Calibri" w:eastAsia="Calibri" w:hAnsi="Calibri" w:cs="Calibri"/>
          <w:color w:val="0070C0"/>
          <w:sz w:val="24"/>
          <w:szCs w:val="24"/>
        </w:rPr>
        <w:t>(п. 5 ПБУ 1/2008).</w:t>
      </w:r>
    </w:p>
    <w:p w14:paraId="7812C724" w14:textId="036EA5F2" w:rsidR="006C115C" w:rsidRPr="00497F3D" w:rsidRDefault="006C115C" w:rsidP="00A350CE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</w:p>
    <w:p w14:paraId="16939F87" w14:textId="6D99F1FC" w:rsidR="00497F3D" w:rsidRDefault="00497F3D" w:rsidP="00497F3D">
      <w:pPr>
        <w:ind w:firstLine="708"/>
        <w:jc w:val="both"/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b/>
          <w:bCs/>
          <w:color w:val="0070C0"/>
          <w:sz w:val="24"/>
          <w:szCs w:val="24"/>
        </w:rPr>
        <w:t>Приказ Минфина России от 06.05.1999 N 32н (ред. от 27.11.2020) "Об утверждении Положения по бухгалтерскому учету "Доходы организации" ПБУ 9/99" (Зарегистрировано в Минюсте России 31.05.1999 N 1791)</w:t>
      </w:r>
    </w:p>
    <w:p w14:paraId="45E53746" w14:textId="05865379" w:rsidR="00497F3D" w:rsidRDefault="00497F3D" w:rsidP="00497F3D">
      <w:pPr>
        <w:ind w:firstLine="708"/>
        <w:jc w:val="both"/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</w:p>
    <w:p w14:paraId="06EB5D89" w14:textId="77777777" w:rsidR="00AE6F15" w:rsidRPr="00AE6F15" w:rsidRDefault="00497F3D" w:rsidP="00AE6F15">
      <w:pPr>
        <w:pStyle w:val="NormalWeb"/>
        <w:shd w:val="clear" w:color="auto" w:fill="FFFFFF"/>
        <w:ind w:firstLine="540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497F3D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="00AE6F15" w:rsidRPr="00AE6F15">
        <w:rPr>
          <w:rFonts w:ascii="Times New Roman" w:hAnsi="Times New Roman" w:cs="Times New Roman"/>
          <w:color w:val="0070C0"/>
          <w:sz w:val="24"/>
          <w:szCs w:val="24"/>
          <w:lang w:val="ru-RU"/>
        </w:rPr>
        <w:t>1. Настоящее Положение устанавливает правила формирования в бухгалтерском учете информации о доходах коммерческих организаций (кроме кредитных и страховых организаций), являющихся юридическими лицами по законодательству Российской Федерации.</w:t>
      </w:r>
    </w:p>
    <w:p w14:paraId="0D3CF0AC" w14:textId="7820D06C" w:rsidR="00497F3D" w:rsidRPr="00AE6F15" w:rsidRDefault="00AE6F15" w:rsidP="00AE6F15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Calibri" w:eastAsia="Calibri" w:hAnsi="Calibri" w:cs="Calibri"/>
          <w:b/>
          <w:bCs/>
          <w:color w:val="0070C0"/>
          <w:sz w:val="24"/>
          <w:szCs w:val="24"/>
          <w:lang w:val="ru-RU"/>
        </w:rPr>
      </w:pPr>
      <w:r w:rsidRPr="00AE6F15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Применительно к настоящему Положению </w:t>
      </w:r>
      <w:r w:rsidRPr="00AE6F15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некоммерческие организации (кроме государственных (муниципальных) учреждений) признают доходы от предпринимательской и иной деятельности.</w:t>
      </w:r>
    </w:p>
    <w:p w14:paraId="21B6C232" w14:textId="7B44B1EE" w:rsidR="00497F3D" w:rsidRDefault="00497F3D" w:rsidP="00497F3D">
      <w:pPr>
        <w:ind w:firstLine="708"/>
        <w:jc w:val="both"/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</w:p>
    <w:p w14:paraId="156AF964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</w:p>
    <w:p w14:paraId="385BC231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IV. Признание доходов</w:t>
      </w:r>
    </w:p>
    <w:p w14:paraId="2B502803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12. Выручка признается в бухгалтерском учете при наличии следующих условий:</w:t>
      </w:r>
    </w:p>
    <w:p w14:paraId="6CAB23D3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lastRenderedPageBreak/>
        <w:t>а) организация имеет право на получение этой выручки, вытекающее из конкретного договора или подтвержденное иным соответствующим образом;</w:t>
      </w:r>
    </w:p>
    <w:p w14:paraId="5FF5DC5C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б) сумма выручки может быть определена;</w:t>
      </w:r>
    </w:p>
    <w:p w14:paraId="684C04EC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в) имеется уверенность в том, что в результате конкретной операции произойдет увеличение экономических выгод организации. Уверенность в том, что в результате конкретной операции произойдет увеличение экономических выгод организации, имеется в случае, когда организация получила в оплату актив либо отсутствует неопределенность в отношении получения актива;</w:t>
      </w:r>
    </w:p>
    <w:p w14:paraId="25F4CFBA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г) право собственности (владения, пользования и распоряжения) на продукцию (товар) перешло от организации к покупателю или работа принята заказчиком (услуга оказана);</w:t>
      </w:r>
    </w:p>
    <w:p w14:paraId="7C5F2CBB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д) расходы, которые произведены или будут произведены в связи с этой операцией, могут быть определены.</w:t>
      </w:r>
    </w:p>
    <w:p w14:paraId="6A4401D5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</w:p>
    <w:p w14:paraId="4E074AFA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Если в отношении денежных средств и иных активов, полученных организацией в оплату, не исполнено хотя бы одно из названных условий, то в бухгалтерском учете организации признается кредиторская задолженность, а не выручка.</w:t>
      </w:r>
    </w:p>
    <w:p w14:paraId="08D449AA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</w:p>
    <w:p w14:paraId="531AC75D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497F3D">
        <w:rPr>
          <w:rFonts w:ascii="Calibri" w:eastAsia="Calibri" w:hAnsi="Calibri" w:cs="Calibri"/>
          <w:color w:val="0070C0"/>
          <w:sz w:val="24"/>
          <w:szCs w:val="24"/>
        </w:rPr>
        <w:t>Для признания в бухгалтерском учете выручки от предоставления за плату во временное пользование (временное владение и пользование) своих активов, прав, возникающих из патентов на изобретения, промышленные образцы и других видов интеллектуальной собственности и от участия в уставных капиталах других организаций, должны быть одновременно соблюдены условия, определенные в подпунктах "а", "б" и "в" настоящего пункта.</w:t>
      </w:r>
    </w:p>
    <w:p w14:paraId="455F1500" w14:textId="77777777" w:rsidR="00497F3D" w:rsidRPr="00497F3D" w:rsidRDefault="00497F3D" w:rsidP="00497F3D">
      <w:pPr>
        <w:ind w:firstLine="708"/>
        <w:jc w:val="both"/>
        <w:rPr>
          <w:rFonts w:ascii="Calibri" w:eastAsia="Calibri" w:hAnsi="Calibri" w:cs="Calibri"/>
          <w:color w:val="0070C0"/>
          <w:sz w:val="24"/>
          <w:szCs w:val="24"/>
        </w:rPr>
      </w:pPr>
    </w:p>
    <w:p w14:paraId="46E0DDC0" w14:textId="6BB56F26" w:rsidR="006C115C" w:rsidRPr="00AE6F15" w:rsidRDefault="00497F3D" w:rsidP="00497F3D">
      <w:pPr>
        <w:ind w:firstLine="708"/>
        <w:jc w:val="both"/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  <w:r w:rsidRPr="00AE6F15">
        <w:rPr>
          <w:rFonts w:ascii="Calibri" w:eastAsia="Calibri" w:hAnsi="Calibri" w:cs="Calibri"/>
          <w:b/>
          <w:bCs/>
          <w:color w:val="0070C0"/>
          <w:sz w:val="24"/>
          <w:szCs w:val="24"/>
        </w:rPr>
        <w:t>Организации, которые вправе применять упрощенные способы ведения бухгалтерского учета, включая упрощенную бухгалтерскую (финансовую) отчетность, могут признавать выручку по мере поступления денежных средств от покупателей (заказчиков) при соблюдении условий, определенных в подпунктах "а", "б", "в" и "д" настоящего пункта.</w:t>
      </w:r>
    </w:p>
    <w:p w14:paraId="338A1AEB" w14:textId="77777777" w:rsidR="006C115C" w:rsidRPr="007A3B62" w:rsidRDefault="006C115C" w:rsidP="00A350CE">
      <w:pPr>
        <w:ind w:firstLine="708"/>
        <w:jc w:val="both"/>
        <w:rPr>
          <w:rFonts w:ascii="Calibri" w:eastAsia="Calibri" w:hAnsi="Calibri" w:cs="Calibri"/>
        </w:rPr>
      </w:pPr>
    </w:p>
    <w:p w14:paraId="411C098B" w14:textId="3BFBC1B2" w:rsidR="006531B6" w:rsidRPr="00AE6F15" w:rsidRDefault="00AE6F15" w:rsidP="00A350CE">
      <w:pPr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E6F15">
        <w:rPr>
          <w:rFonts w:ascii="Times New Roman" w:hAnsi="Times New Roman" w:cs="Times New Roman"/>
          <w:color w:val="0070C0"/>
          <w:sz w:val="24"/>
          <w:szCs w:val="24"/>
        </w:rPr>
        <w:t>Федеральный закон от 12.01.1996 N 7-ФЗ (ред. от 31.07.2025) "О некоммерческих организациях"</w:t>
      </w:r>
    </w:p>
    <w:p w14:paraId="3BC450A9" w14:textId="0BE785CB" w:rsidR="00497F3D" w:rsidRPr="00AE6F15" w:rsidRDefault="00AE6F15" w:rsidP="00A350CE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6F15">
        <w:rPr>
          <w:rFonts w:ascii="Times New Roman" w:hAnsi="Times New Roman" w:cs="Times New Roman"/>
          <w:color w:val="0070C0"/>
          <w:sz w:val="24"/>
          <w:szCs w:val="24"/>
        </w:rPr>
        <w:t xml:space="preserve">2. 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целям, при условии, что такая деятельность указана в его учредительных документах. </w:t>
      </w:r>
      <w:r w:rsidRPr="00AE6F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Такой деятельностью признаются приносящее прибыль производство товаров и услуг, отвечающих целям создания некоммерческой организации,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14:paraId="2B2EC280" w14:textId="3BE87E98" w:rsidR="00497F3D" w:rsidRDefault="00497F3D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614D5BBE" w14:textId="77777777" w:rsidR="00497F3D" w:rsidRPr="007A3B62" w:rsidRDefault="00497F3D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6BA6EE5A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lastRenderedPageBreak/>
        <w:t>2) Вопрос по наградной деятельности ассоциации.</w:t>
      </w:r>
    </w:p>
    <w:p w14:paraId="7E12D48C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Ситуация: Ассоциация, согласно п. 6.3.3.7 Устава к компетенции постоянно действующего коллегиального исполнительного органа управления (собирается 2 раза в год)  относится учреждение наград Ассоциации, утверждение положений о наградах, принятие решений о награждение – всё это является уставной деятельностью Ассоциации, которую она ведёт за счёт членских взносов и пожертвований. </w:t>
      </w:r>
    </w:p>
    <w:p w14:paraId="337107C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Ассоциация получает ходатайства о награждении работников от организаций и наградные листы на каждого награждаемого. Либо коллегиальный орган управления или администрация сами предлагают наградить кого-то этими наградами.</w:t>
      </w:r>
    </w:p>
    <w:p w14:paraId="12434B90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Ассоциация вносит данные в реестр награждения.</w:t>
      </w:r>
    </w:p>
    <w:p w14:paraId="3AB67BA0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Протоколом Капитула при коллегиальном исполнительном органе управления утверждают награждение награждаемого.</w:t>
      </w:r>
    </w:p>
    <w:p w14:paraId="05B17854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Денег на изготовление наград не хватает, некоторые награды дорогие и делаются из золота и серебра на монетном дворе.</w:t>
      </w:r>
    </w:p>
    <w:p w14:paraId="0461E1C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Ассоциация заключала договоры купли-продажи нагрудных знаков. т.е. компания делала заявки на награды и оплачивала их стоимость за комплект (наградной знак, футляр, удостоверение) не по себестоимости, а с наценкой.</w:t>
      </w:r>
    </w:p>
    <w:p w14:paraId="3A1EFF5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Каким образом можно работать с наградами?</w:t>
      </w:r>
    </w:p>
    <w:p w14:paraId="523645A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 как получать финансирование на их изготовление?</w:t>
      </w:r>
    </w:p>
    <w:p w14:paraId="071A24F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Возможно ли заключать договоры купли-продажи нагрудных знаков?</w:t>
      </w:r>
    </w:p>
    <w:p w14:paraId="11087AF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 при каких условиях и с какими формулировками?</w:t>
      </w:r>
    </w:p>
    <w:p w14:paraId="0D61EC70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lastRenderedPageBreak/>
        <w:t>или же переходить на договор пожертвования на уставные цели?</w:t>
      </w:r>
    </w:p>
    <w:p w14:paraId="00B83997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Или просто договор пожертвования без конкретики?</w:t>
      </w:r>
    </w:p>
    <w:p w14:paraId="3686127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или еще какие варианты есть?</w:t>
      </w:r>
    </w:p>
    <w:p w14:paraId="507F83C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Каким образом и какими документам оформлять списание наград с учёта?</w:t>
      </w:r>
    </w:p>
    <w:p w14:paraId="46EF23BD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Не удается подписывать акты приёмки-передачи наград награждаемому.</w:t>
      </w:r>
    </w:p>
    <w:p w14:paraId="5F3AD736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На каком счёте учитывать награды (наградную атрибутику – медали, футляры, удостоверения) при покупке у поставщиков на 10 или 41, далее идет комплектование награды?</w:t>
      </w:r>
    </w:p>
    <w:p w14:paraId="6F5F0C6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На какой счет списывать и в какой момент?</w:t>
      </w:r>
    </w:p>
    <w:p w14:paraId="2C6AD64E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Каким образом списывать с учета при награждении – безвозмездной передаче?</w:t>
      </w:r>
    </w:p>
    <w:p w14:paraId="19AC4BED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Что делать с НДФЛ?</w:t>
      </w:r>
    </w:p>
    <w:p w14:paraId="01E9718F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Часть наград по себестоимости около 2 тыс. руб., знаки, имеющие в составе серебро – себестоимость порядка 7-10 тыс. руб., а знаки из золота — 260 тыс. руб.</w:t>
      </w:r>
    </w:p>
    <w:p w14:paraId="73B61FBC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грамотно оформить передачу знака награждаемому, как разобраться с НДФЛ – его начисление и удержание, если это не сотрудники нашей организации.</w:t>
      </w:r>
    </w:p>
    <w:p w14:paraId="2CEC769F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Предложила директору договор дарения и уведомление в ИФНС о невозможности удержать НДФЛ, но они и слушать не хотят, что тому, кого награждаем, нужно заплатить налог.</w:t>
      </w:r>
    </w:p>
    <w:p w14:paraId="068F7DF8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Возможно ли заплатить налог за награждаемых? Опять-таки из каких это средств делать?</w:t>
      </w:r>
    </w:p>
    <w:p w14:paraId="49E03C27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Какова практика в вопросах награждения? Это не спортивные соревнования, не конкурсы, и не социально-ориентированная организация.</w:t>
      </w:r>
    </w:p>
    <w:p w14:paraId="3A7092B0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lastRenderedPageBreak/>
        <w:t>Здесь некоммерческое партнёрство (сейчас ассоциация) и членские взносы.</w:t>
      </w:r>
    </w:p>
    <w:p w14:paraId="0BB840B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грамотно выстроить наградную работу?</w:t>
      </w:r>
    </w:p>
    <w:p w14:paraId="36972045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по каким договорам получать финансирование?  –пожертвование, спонсорская помощь или еще как?</w:t>
      </w:r>
    </w:p>
    <w:p w14:paraId="5EBDB99A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 правильно и по каким документам передавать награды и осуществлять списание у учета наград для награждения – по какой цене (себестоимость или на забалансовом счете по 1 руб., – какая стоимость будет стоять в акте приёмки-передачи?</w:t>
      </w:r>
    </w:p>
    <w:p w14:paraId="2F862E2D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Возможно ли составлять акт безадресно – выдать Иванову И.И. 10 комплектов награды для торжественного награждения список из 10 чел. ФИО такого-то числа. Общая стоимость наград 20 тыс. руб.</w:t>
      </w:r>
    </w:p>
    <w:p w14:paraId="49A6370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Как работать с налогом НДФЛ?</w:t>
      </w:r>
    </w:p>
    <w:p w14:paraId="089A2113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Будет ли здесь возникать другие налоги и сборы при передаче физическим лицам?</w:t>
      </w:r>
    </w:p>
    <w:p w14:paraId="1BF3905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Возможно ли получать пожертвование от организации А и награждать наградами сотрудников организации А – в протоколе будут указаны ФИО, должность и название компании – организация А – при пристальном изучении можно будет провести параллель, что организация А дала пожертвование на награждение своих сотрудников наградами?</w:t>
      </w:r>
    </w:p>
    <w:p w14:paraId="69F573E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Или же нужно, чтобы организация Б вносила пожертвование, а награждались сотрудники организации А (если это холдинги, и есть такая возможность)?</w:t>
      </w:r>
    </w:p>
    <w:p w14:paraId="086B7EDF" w14:textId="526A97CD" w:rsidR="006531B6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Вопросов много, но все об одном – как построить учёт наград, их списание с бухгалтерского учёта, и законным </w:t>
      </w:r>
      <w:r>
        <w:rPr>
          <w:rFonts w:ascii="Times New Roman" w:hAnsi="Times New Roman" w:cs="Times New Roman"/>
          <w:sz w:val="36"/>
        </w:rPr>
        <w:lastRenderedPageBreak/>
        <w:t>способом получать деньги на финансирование наградной деятельности.</w:t>
      </w:r>
    </w:p>
    <w:p w14:paraId="5E4E7EEB" w14:textId="0467E959" w:rsidR="00AE6F15" w:rsidRDefault="00AE6F15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2D1AD8FB" w14:textId="77777777" w:rsidR="00AE6F15" w:rsidRPr="00FD67EB" w:rsidRDefault="00AE6F15" w:rsidP="00AE6F15">
      <w:pPr>
        <w:pStyle w:val="Heading2"/>
        <w:shd w:val="clear" w:color="auto" w:fill="FFFFFF"/>
        <w:spacing w:beforeAutospacing="0" w:after="300" w:afterAutospacing="0"/>
        <w:rPr>
          <w:rFonts w:asciiTheme="minorHAnsi" w:hAnsiTheme="minorHAnsi" w:cstheme="minorHAnsi"/>
          <w:color w:val="0070C0"/>
          <w:sz w:val="24"/>
          <w:szCs w:val="24"/>
        </w:rPr>
      </w:pPr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</w:rPr>
        <w:t>НДС </w:t>
      </w:r>
    </w:p>
    <w:p w14:paraId="7A02E222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Style w:val="Strong"/>
          <w:rFonts w:asciiTheme="minorHAnsi" w:hAnsiTheme="minorHAnsi" w:cstheme="minorHAnsi"/>
          <w:color w:val="0070C0"/>
          <w:sz w:val="24"/>
          <w:szCs w:val="24"/>
          <w:lang w:val="ru-RU"/>
        </w:rPr>
        <w:t>Обычная безвозмездная передача имущества признается реализацией и облагается, согласно письму Минфина от 11 июля 2023 г. № 03-07-11/64536, налогом на добавленную стоимость (НДС).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Причём НДС начисляется в день передачи подарков и призов. Базой для исчисления налога является рыночная или покупная стоимость призов и подарков. Входной НДС может быть принят к вычету при соблюдении ряда требований и условий, прописанных в п. 1 ст. 171 и п. 1 ст. 172 НК РФ. Для целей начисления налога достаточно составить бухгалтерскую справку–расчет или сводный документ и зарегистрировать его в Книге продаж.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5BAA2118" w14:textId="3569966A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В случае если в качестве подарков выступают приобретенные ценности, базой для расчета налога служит стоимость их приобретения. Если же в качестве подарка выступает имущество, изготовленное внутри организации, за основу налоговой базы можно взять цену его реализации. В бухгалтерском учете начисление НДС фиксируется проводкой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  <w:r w:rsidRPr="00FD67EB">
        <w:rPr>
          <w:rStyle w:val="Emphasis"/>
          <w:rFonts w:asciiTheme="minorHAnsi" w:hAnsiTheme="minorHAnsi" w:cstheme="minorHAnsi"/>
          <w:color w:val="0070C0"/>
          <w:sz w:val="24"/>
          <w:szCs w:val="24"/>
          <w:lang w:val="ru-RU"/>
        </w:rPr>
        <w:t>Д 91 К 68.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2EBC43DD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</w:p>
    <w:p w14:paraId="4720FCE9" w14:textId="77777777" w:rsidR="00AE6F15" w:rsidRPr="00FD67EB" w:rsidRDefault="00AE6F15" w:rsidP="00AE6F15">
      <w:pPr>
        <w:pStyle w:val="Heading2"/>
        <w:shd w:val="clear" w:color="auto" w:fill="FFFFFF"/>
        <w:spacing w:beforeAutospacing="0" w:after="300" w:afterAutospacing="0"/>
        <w:rPr>
          <w:rFonts w:asciiTheme="minorHAnsi" w:hAnsiTheme="minorHAnsi" w:cstheme="minorHAnsi"/>
          <w:color w:val="0070C0"/>
          <w:sz w:val="24"/>
          <w:szCs w:val="24"/>
        </w:rPr>
      </w:pPr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</w:rPr>
        <w:t>НДФЛ </w:t>
      </w:r>
    </w:p>
    <w:p w14:paraId="5793520E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Процедура оформления передачи подарка другой организации или её сотрудникам зависит от его стоимости.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  <w:r w:rsidRPr="00FD67EB">
        <w:rPr>
          <w:rStyle w:val="Strong"/>
          <w:rFonts w:asciiTheme="minorHAnsi" w:hAnsiTheme="minorHAnsi" w:cstheme="minorHAnsi"/>
          <w:color w:val="0070C0"/>
          <w:sz w:val="24"/>
          <w:szCs w:val="24"/>
          <w:lang w:val="ru-RU"/>
        </w:rPr>
        <w:t>Если цена подарка не превышает 4000 рублей, то, согласно п. 28 ст. 217 НК РФ, подоходный налог (НДФЛ) не удерживается.</w:t>
      </w:r>
      <w:r w:rsidRPr="00FD67EB">
        <w:rPr>
          <w:rStyle w:val="Strong"/>
          <w:rFonts w:asciiTheme="minorHAnsi" w:hAnsiTheme="minorHAnsi" w:cstheme="minorHAnsi"/>
          <w:color w:val="0070C0"/>
          <w:sz w:val="24"/>
          <w:szCs w:val="24"/>
        </w:rPr>
        <w:t> 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То есть дарящая организация может не включать в отчетность по форме 6-НДФЛ подарки, не превышающие 4 000 рублей в год, поскольку они освобождены от НДФЛ.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49BFD401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Style w:val="Strong"/>
          <w:rFonts w:asciiTheme="minorHAnsi" w:hAnsiTheme="minorHAnsi" w:cstheme="minorHAnsi"/>
          <w:color w:val="0070C0"/>
          <w:sz w:val="24"/>
          <w:szCs w:val="24"/>
          <w:lang w:val="ru-RU"/>
        </w:rPr>
        <w:t>Если же стоимость подарка, вручаемого другой организации или её сотруднику, превышает 4000 рублей, организация-даритель выступает в роли налогового агента по НДФЛ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6CC4BE52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При передаче призов и подарков стоимостью свыше 4000 рублей сотрудникам организаций-партнёров необходимо начислить НДФЛ. В случае отсутствия возможности удержать НДФЛ организация в соответствии с п. 5 ст. 226 НК РФ обязана проинформировать налогоплательщика (получателя подарка) и налоговый орган о невозможности удержания налога, а также о сумме дохода, с которой налог не был удержан. Срок уведомления – не позднее 25 февраля года, следующего за отчетным.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52C64666" w14:textId="07844995" w:rsidR="00AE6F15" w:rsidRPr="00FD67EB" w:rsidRDefault="00AE6F15" w:rsidP="00AE6F1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Для целей информирования используется специальная форма, предусмотренная приложением № 1 к годовому отчету 6-НДФЛ, утвержденная приказом ФНС РФ от 9 января 2024 г. № ЕД-7-11/1.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3C129B56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 xml:space="preserve">Налоговый кодекс п. 6.1 ст. 217 Налогового кодекса освобождает от обложения НДФЛ суммы, полученные физлицами в виде грантов, премий и призов в денежной или натуральной форме по результатам участия в соревнованиях, конкурсах, иных мероприятиях, предоставленных некоммерческими организациями за счет грантов Президента РФ. Правительство определило перечень таких НКО. Точнее, добавило новый список к Перечню российских организаций, утвержденный в целях применения другой 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lastRenderedPageBreak/>
        <w:t>льготы по НДФЛ – в отношении грантов и безвозмездной помощи, предоставленных для поддержки науки, образования, культуры и искусства.</w:t>
      </w:r>
    </w:p>
    <w:p w14:paraId="30DE07E3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</w:p>
    <w:p w14:paraId="50E15A8B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Новый Перечень НКО небольшой – в него включены всего четыре организации:</w:t>
      </w:r>
    </w:p>
    <w:p w14:paraId="705B607B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</w:p>
    <w:p w14:paraId="7C9154A7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АНО "Россия – страна возможностей",</w:t>
      </w:r>
    </w:p>
    <w:p w14:paraId="6E69822D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АНО "Большая Перемена",</w:t>
      </w:r>
    </w:p>
    <w:p w14:paraId="60B3EDC2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Российское движение школьников,</w:t>
      </w:r>
    </w:p>
    <w:p w14:paraId="71B51D97" w14:textId="77777777" w:rsidR="00AE6F15" w:rsidRPr="00FD67EB" w:rsidRDefault="00AE6F15" w:rsidP="00AE6F15">
      <w:pPr>
        <w:pStyle w:val="NormalWeb"/>
        <w:shd w:val="clear" w:color="auto" w:fill="FFFFFF"/>
        <w:spacing w:after="30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Российское общество "Знание".</w:t>
      </w:r>
    </w:p>
    <w:p w14:paraId="75B84938" w14:textId="77777777" w:rsidR="00AE6F15" w:rsidRPr="00FD67EB" w:rsidRDefault="00AE6F15" w:rsidP="00AE6F15">
      <w:pPr>
        <w:pStyle w:val="Heading2"/>
        <w:shd w:val="clear" w:color="auto" w:fill="FFFFFF"/>
        <w:spacing w:beforeAutospacing="0" w:after="300" w:afterAutospacing="0"/>
        <w:rPr>
          <w:rFonts w:asciiTheme="minorHAnsi" w:hAnsiTheme="minorHAnsi" w:cstheme="minorHAnsi"/>
          <w:color w:val="0070C0"/>
          <w:sz w:val="24"/>
          <w:szCs w:val="24"/>
        </w:rPr>
      </w:pPr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</w:rPr>
        <w:t>Страховые взносы </w:t>
      </w:r>
    </w:p>
    <w:p w14:paraId="39DDDD7C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Style w:val="Strong"/>
          <w:rFonts w:asciiTheme="minorHAnsi" w:hAnsiTheme="minorHAnsi" w:cstheme="minorHAnsi"/>
          <w:color w:val="0070C0"/>
          <w:sz w:val="24"/>
          <w:szCs w:val="24"/>
          <w:lang w:val="ru-RU"/>
        </w:rPr>
        <w:t>Страховые взносы на стоимость подарков не начисляются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, поскольку передача подарков оформляется как договор дарения, а не как договор на выполнение работ или оказание услуг.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0F86A681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В случае если организация в силу своей специфики весьма часто прибегает к практике вручения призов, наград и подарков каким-либо сторонним субъектам, порядок отражения их передачи наши специалисты рекомендуют зафиксировать в учетной политике НКО.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</w:p>
    <w:p w14:paraId="3BAE6F24" w14:textId="77777777" w:rsidR="00AE6F15" w:rsidRPr="00FD67EB" w:rsidRDefault="00AE6F15" w:rsidP="00AE6F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4"/>
          <w:szCs w:val="24"/>
          <w:lang w:val="ru-RU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val="ru-RU"/>
        </w:rPr>
        <w:t>Для отслеживания движения призов, наград и подарков, как правило, используется какой-либо забалансовый счет (07). Понесённые издержки отражаются на счет 91.2 «Прочие расходы» в момент приобретения. Если же подарки хранятся в организации весьма долгий период времени, учет их приобретения следует отражать на счете 10 «Материалы» с последующим списанием их стоимости на счет 91.2 «Прочие расходы» в момент непосредственной передачи субъекту-получателю. Начисленная сумма НДС с передачи призов и подарков, как говорилось выше, учитывается в составе прочих расходов и отражается в бухгалтерском учете проводкой</w:t>
      </w:r>
      <w:r w:rsidRPr="00FD67EB">
        <w:rPr>
          <w:rFonts w:asciiTheme="minorHAnsi" w:hAnsiTheme="minorHAnsi" w:cstheme="minorHAnsi"/>
          <w:color w:val="0070C0"/>
          <w:sz w:val="24"/>
          <w:szCs w:val="24"/>
        </w:rPr>
        <w:t> </w:t>
      </w:r>
      <w:r w:rsidRPr="00FD67EB">
        <w:rPr>
          <w:rStyle w:val="Emphasis"/>
          <w:rFonts w:asciiTheme="minorHAnsi" w:hAnsiTheme="minorHAnsi" w:cstheme="minorHAnsi"/>
          <w:color w:val="0070C0"/>
          <w:sz w:val="24"/>
          <w:szCs w:val="24"/>
          <w:lang w:val="ru-RU"/>
        </w:rPr>
        <w:t>Д 91.2 К68.</w:t>
      </w:r>
      <w:r w:rsidRPr="00FD67EB">
        <w:rPr>
          <w:rStyle w:val="Emphasis"/>
          <w:rFonts w:asciiTheme="minorHAnsi" w:hAnsiTheme="minorHAnsi" w:cstheme="minorHAnsi"/>
          <w:color w:val="0070C0"/>
          <w:sz w:val="24"/>
          <w:szCs w:val="24"/>
        </w:rPr>
        <w:t> </w:t>
      </w:r>
    </w:p>
    <w:p w14:paraId="216FA4FF" w14:textId="77777777" w:rsidR="00AE6F15" w:rsidRPr="003D49D4" w:rsidRDefault="00AE6F15" w:rsidP="00A350CE">
      <w:pPr>
        <w:ind w:firstLine="708"/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23D3BAC2" w14:textId="77777777" w:rsidR="00FD67EB" w:rsidRPr="00FD67EB" w:rsidRDefault="00FD67EB" w:rsidP="00FD67EB">
      <w:pPr>
        <w:shd w:val="clear" w:color="auto" w:fill="FFFFFF"/>
        <w:spacing w:line="240" w:lineRule="auto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Учёт выдачи наград в некоммерческой организации оформляется с помощью наградного листа.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Также могут использоваться приказы (распоряжения) руководства о поощрении, протоколы заседаний, где принималось решение о награждении, и документы, подтверждающие факт получения награды (например, акт приёма-передачи, расписка).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0CB0643E" w14:textId="77777777" w:rsidR="00FD67EB" w:rsidRPr="00FD67EB" w:rsidRDefault="00FD67EB" w:rsidP="00FD67EB">
      <w:pPr>
        <w:shd w:val="clear" w:color="auto" w:fill="FFFFFF"/>
        <w:spacing w:line="420" w:lineRule="atLeast"/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</w:pPr>
      <w:proofErr w:type="spellStart"/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Основные</w:t>
      </w:r>
      <w:proofErr w:type="spellEnd"/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документы</w:t>
      </w:r>
      <w:proofErr w:type="spellEnd"/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 xml:space="preserve"> для </w:t>
      </w:r>
      <w:proofErr w:type="spellStart"/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оформления</w:t>
      </w:r>
      <w:proofErr w:type="spellEnd"/>
    </w:p>
    <w:p w14:paraId="6602681A" w14:textId="77777777" w:rsidR="00FD67EB" w:rsidRPr="00FD67EB" w:rsidRDefault="00FD67EB" w:rsidP="00FD67EB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</w:pPr>
      <w:proofErr w:type="spellStart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Наградной</w:t>
      </w:r>
      <w:proofErr w:type="spellEnd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лист</w:t>
      </w:r>
      <w:proofErr w:type="spellEnd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: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05609586" w14:textId="77777777" w:rsidR="00FD67EB" w:rsidRPr="00FD67EB" w:rsidRDefault="00FD67EB" w:rsidP="00FD67EB">
      <w:pPr>
        <w:shd w:val="clear" w:color="auto" w:fill="FFFFFF"/>
        <w:spacing w:after="120" w:line="360" w:lineRule="atLeast"/>
        <w:ind w:left="720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Это основной документ, который заполняется на награждаемого.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Он должен пройти согласование в соответствии с внутренними положениями организации.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6554F49E" w14:textId="77777777" w:rsidR="00FD67EB" w:rsidRPr="00FD67EB" w:rsidRDefault="00FD67EB" w:rsidP="00FD67EB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bidi="th-TH"/>
          <w14:ligatures w14:val="none"/>
        </w:rPr>
        <w:t>Протокол общего собрания (или другого руководящего органа):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0739416C" w14:textId="77777777" w:rsidR="00FD67EB" w:rsidRPr="00FD67EB" w:rsidRDefault="00FD67EB" w:rsidP="00FD67EB">
      <w:pPr>
        <w:shd w:val="clear" w:color="auto" w:fill="FFFFFF"/>
        <w:spacing w:after="120" w:line="360" w:lineRule="atLeast"/>
        <w:ind w:left="720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Если решение о награждении принимается коллегиально, то составляется протокол, фиксирующий этот факт.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3A8F6E8D" w14:textId="77777777" w:rsidR="00FD67EB" w:rsidRPr="00FD67EB" w:rsidRDefault="00FD67EB" w:rsidP="00FD67EB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</w:pPr>
      <w:proofErr w:type="spellStart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lastRenderedPageBreak/>
        <w:t>Приказ</w:t>
      </w:r>
      <w:proofErr w:type="spellEnd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 xml:space="preserve"> (</w:t>
      </w:r>
      <w:proofErr w:type="spellStart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распоряжение</w:t>
      </w:r>
      <w:proofErr w:type="spellEnd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 xml:space="preserve">) </w:t>
      </w:r>
      <w:proofErr w:type="spellStart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руководителя</w:t>
      </w:r>
      <w:proofErr w:type="spellEnd"/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val="en-US" w:bidi="th-TH"/>
          <w14:ligatures w14:val="none"/>
        </w:rPr>
        <w:t>: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2B90F868" w14:textId="77777777" w:rsidR="00FD67EB" w:rsidRPr="00FD67EB" w:rsidRDefault="00FD67EB" w:rsidP="00FD67EB">
      <w:pPr>
        <w:shd w:val="clear" w:color="auto" w:fill="FFFFFF"/>
        <w:spacing w:after="120" w:line="360" w:lineRule="atLeast"/>
        <w:ind w:left="720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На основании решения руководства издается приказ о поощрении, в котором указываются лица и основание для награждения.</w:t>
      </w:r>
    </w:p>
    <w:p w14:paraId="739677CF" w14:textId="77777777" w:rsidR="00FD67EB" w:rsidRPr="00FD67EB" w:rsidRDefault="00FD67EB" w:rsidP="00FD67EB">
      <w:pPr>
        <w:numPr>
          <w:ilvl w:val="0"/>
          <w:numId w:val="3"/>
        </w:numPr>
        <w:shd w:val="clear" w:color="auto" w:fill="FFFFFF"/>
        <w:spacing w:line="360" w:lineRule="atLeast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b/>
          <w:bCs/>
          <w:color w:val="0070C0"/>
          <w:sz w:val="24"/>
          <w:szCs w:val="24"/>
          <w:lang w:bidi="th-TH"/>
          <w14:ligatures w14:val="none"/>
        </w:rPr>
        <w:t>Акт приёма-передачи или расписка: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6E7F2BB8" w14:textId="77777777" w:rsidR="00FD67EB" w:rsidRPr="00FD67EB" w:rsidRDefault="00FD67EB" w:rsidP="00FD67EB">
      <w:pPr>
        <w:shd w:val="clear" w:color="auto" w:fill="FFFFFF"/>
        <w:spacing w:line="360" w:lineRule="atLeast"/>
        <w:ind w:left="720"/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</w:pPr>
      <w:r w:rsidRPr="00FD67EB">
        <w:rPr>
          <w:rFonts w:asciiTheme="minorHAnsi" w:hAnsiTheme="minorHAnsi" w:cstheme="minorHAnsi"/>
          <w:color w:val="0070C0"/>
          <w:sz w:val="24"/>
          <w:szCs w:val="24"/>
          <w:lang w:bidi="th-TH"/>
          <w14:ligatures w14:val="none"/>
        </w:rPr>
        <w:t>Для подтверждения фактической выдачи награды может быть составлен акт приёма-передачи или потребоваться личная расписка от награжденного.</w:t>
      </w:r>
      <w:r w:rsidRPr="00FD67EB">
        <w:rPr>
          <w:rFonts w:asciiTheme="minorHAnsi" w:hAnsiTheme="minorHAnsi" w:cstheme="minorHAnsi"/>
          <w:color w:val="0070C0"/>
          <w:sz w:val="24"/>
          <w:szCs w:val="24"/>
          <w:lang w:val="en-US" w:bidi="th-TH"/>
          <w14:ligatures w14:val="none"/>
        </w:rPr>
        <w:t> </w:t>
      </w:r>
    </w:p>
    <w:p w14:paraId="1EEED55B" w14:textId="77777777" w:rsidR="006531B6" w:rsidRPr="003D49D4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2DBF4AAE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b/>
          <w:sz w:val="36"/>
        </w:rPr>
        <w:t>6. Юлия Сергеевна А.</w:t>
      </w:r>
    </w:p>
    <w:p w14:paraId="1EA0C1DD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183A0E29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По ведению проектной деятельности в рамках гранта было оформлено несколько договоров ГПХ с физ. лицами (в штате не числятся), в том числе и с несовершеннолетними (до 14 лет). В договоре ГПХ указан родитель, его данные, он подписывает договор и акт. Про ребенка прописано, что работу выполняет он.</w:t>
      </w:r>
    </w:p>
    <w:p w14:paraId="063DEA54" w14:textId="6D937827" w:rsidR="006531B6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Вопрос: на кого в бухгалтерской программе оформлять договор ГПХ и, как следствие, начислять доход, страховые взносы и удерживать НДФЛ? Я думаю, что на ребёнка, но коллега до меня сдавала на родителя отчеты по аналогичным ГПХ, начисляя на родителя доход и взносы. У меня сомнения по правильности таких действий. Помогите, пожалуйста, разобраться в ситуации, чтобы сделать правильно.</w:t>
      </w:r>
    </w:p>
    <w:p w14:paraId="4D7562CF" w14:textId="31BFF554" w:rsidR="005635E6" w:rsidRDefault="005635E6" w:rsidP="00A350CE">
      <w:pPr>
        <w:ind w:firstLine="708"/>
        <w:jc w:val="both"/>
        <w:rPr>
          <w:rFonts w:ascii="Calibri" w:eastAsia="Calibri" w:hAnsi="Calibri" w:cs="Calibri"/>
        </w:rPr>
      </w:pPr>
    </w:p>
    <w:p w14:paraId="2C33557C" w14:textId="07DC477B" w:rsidR="005635E6" w:rsidRPr="00E730B8" w:rsidRDefault="005635E6" w:rsidP="00A350CE">
      <w:pPr>
        <w:ind w:firstLine="708"/>
        <w:jc w:val="both"/>
        <w:rPr>
          <w:rFonts w:ascii="Calibri" w:eastAsia="Calibri" w:hAnsi="Calibri" w:cs="Calibri"/>
          <w:color w:val="2E74B5" w:themeColor="accent5" w:themeShade="BF"/>
        </w:rPr>
      </w:pPr>
      <w:r w:rsidRPr="00E730B8">
        <w:rPr>
          <w:rFonts w:ascii="PT Sans" w:hAnsi="PT Sans"/>
          <w:color w:val="2E74B5" w:themeColor="accent5" w:themeShade="BF"/>
          <w:sz w:val="24"/>
          <w:szCs w:val="24"/>
          <w:shd w:val="clear" w:color="auto" w:fill="FFFFFF"/>
        </w:rPr>
        <w:t>Несовершеннолетние наряду с остальными гражданами выступают плательщиками налога на доходы физических лиц (НДФЛ) (п. 1 ст. 207 НК РФ).</w:t>
      </w:r>
      <w:r w:rsidRPr="00E730B8">
        <w:rPr>
          <w:rFonts w:ascii="PT Sans" w:hAnsi="PT Sans"/>
          <w:color w:val="2E74B5" w:themeColor="accent5" w:themeShade="BF"/>
          <w:sz w:val="24"/>
          <w:szCs w:val="24"/>
        </w:rPr>
        <w:br/>
      </w:r>
      <w:r w:rsidRPr="00E730B8">
        <w:rPr>
          <w:rFonts w:ascii="PT Sans" w:hAnsi="PT Sans"/>
          <w:color w:val="2E74B5" w:themeColor="accent5" w:themeShade="BF"/>
          <w:sz w:val="24"/>
          <w:szCs w:val="24"/>
        </w:rPr>
        <w:br/>
      </w:r>
    </w:p>
    <w:p w14:paraId="63E05EF9" w14:textId="77777777" w:rsidR="005635E6" w:rsidRPr="00E730B8" w:rsidRDefault="005635E6" w:rsidP="005635E6">
      <w:pPr>
        <w:pStyle w:val="Heading3"/>
        <w:pBdr>
          <w:top w:val="single" w:sz="2" w:space="12" w:color="E5E7EB"/>
          <w:left w:val="single" w:sz="2" w:space="0" w:color="E5E7EB"/>
          <w:bottom w:val="single" w:sz="2" w:space="6" w:color="E5E7EB"/>
          <w:right w:val="single" w:sz="2" w:space="0" w:color="E5E7EB"/>
        </w:pBdr>
        <w:spacing w:beforeAutospacing="0" w:after="180" w:afterAutospacing="0" w:line="480" w:lineRule="atLeast"/>
        <w:rPr>
          <w:rFonts w:ascii="Georgia" w:hAnsi="Georgia"/>
          <w:color w:val="2E74B5" w:themeColor="accent5" w:themeShade="BF"/>
          <w:sz w:val="39"/>
          <w:szCs w:val="39"/>
        </w:rPr>
      </w:pPr>
      <w:r w:rsidRPr="00E730B8">
        <w:rPr>
          <w:rFonts w:ascii="Georgia" w:hAnsi="Georgia"/>
          <w:color w:val="2E74B5" w:themeColor="accent5" w:themeShade="BF"/>
          <w:sz w:val="39"/>
          <w:szCs w:val="39"/>
        </w:rPr>
        <w:t>Заполнение справки о доходах на несовершеннолетнего</w:t>
      </w:r>
    </w:p>
    <w:p w14:paraId="31A85B29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Если в течение года вы выплачивали несовершеннолетнему доходы, то на него нужно будет составить справку о доходах физлица, которая является частью годового расчета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6-НДФЛ.</w:t>
      </w:r>
    </w:p>
    <w:p w14:paraId="22BE1288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lastRenderedPageBreak/>
        <w:t>При заполнении справки на несовершеннолетнего есть особенност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и:</w:t>
      </w:r>
    </w:p>
    <w:p w14:paraId="70D9AEB0" w14:textId="77777777" w:rsidR="005635E6" w:rsidRPr="00E730B8" w:rsidRDefault="005635E6" w:rsidP="005635E6">
      <w:pPr>
        <w:pStyle w:val="lilvl1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9"/>
          <w:szCs w:val="29"/>
          <w:bdr w:val="single" w:sz="2" w:space="0" w:color="E5E7EB" w:frame="1"/>
          <w:lang w:val="ru-RU"/>
        </w:rPr>
        <w:t>•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у получившего доход ребенка младше 14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лет нет паспорта. Тогда в поле «Код вида документа, удостоверяющего личность» проставьте код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03, а в поле «Серия и номер» укажите серию и номер свидетельства о рождении без знака №;</w:t>
      </w:r>
    </w:p>
    <w:p w14:paraId="6A0F9A7C" w14:textId="77777777" w:rsidR="005635E6" w:rsidRPr="00E730B8" w:rsidRDefault="005635E6" w:rsidP="005635E6">
      <w:pPr>
        <w:pStyle w:val="lilvl1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9"/>
          <w:szCs w:val="29"/>
          <w:bdr w:val="single" w:sz="2" w:space="0" w:color="E5E7EB" w:frame="1"/>
          <w:lang w:val="ru-RU"/>
        </w:rPr>
        <w:t>•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у ребенка нет ИНН, вернее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— вы его не знаете. Ведь налоговые органы присваивают ИНН человеку после его рождения на основании информации, полученной из ЗАГС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а.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Тогда вы можете либо не заполнять в справке поле «ИНН в Российской Федерации», либо узнать его и заполнить.</w:t>
      </w:r>
    </w:p>
    <w:p w14:paraId="3303DFF5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36" w:lineRule="atLeast"/>
        <w:rPr>
          <w:rFonts w:ascii="Georgia" w:hAnsi="Georgia"/>
          <w:color w:val="2E74B5" w:themeColor="accent5" w:themeShade="BF"/>
          <w:sz w:val="20"/>
          <w:szCs w:val="20"/>
          <w:lang w:val="ru-RU"/>
        </w:rPr>
      </w:pP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Узнать ИНН несовершеннолетнего можно через интернет-сервис «Узнать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</w:rPr>
        <w:t> </w:t>
      </w:r>
      <w:r w:rsidRPr="00E730B8">
        <w:rPr>
          <w:rStyle w:val="nw"/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ИНН».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</w:rPr>
        <w:t> 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В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</w:rPr>
        <w:t> 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сервисе нужно ввести ф.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</w:rPr>
        <w:t> 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и.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</w:rPr>
        <w:t> </w:t>
      </w:r>
      <w:r w:rsidRPr="00E730B8">
        <w:rPr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о. подростка, дату его рождения, серию и номер паспорта или свидетельства о рождении и дату выдачи документ</w:t>
      </w:r>
      <w:r w:rsidRPr="00E730B8">
        <w:rPr>
          <w:rStyle w:val="nw"/>
          <w:rFonts w:ascii="Georgia" w:hAnsi="Georgia"/>
          <w:b/>
          <w:bCs/>
          <w:color w:val="2E74B5" w:themeColor="accent5" w:themeShade="BF"/>
          <w:sz w:val="20"/>
          <w:szCs w:val="20"/>
          <w:bdr w:val="single" w:sz="2" w:space="0" w:color="E5E7EB" w:frame="1"/>
          <w:lang w:val="ru-RU"/>
        </w:rPr>
        <w:t>а.</w:t>
      </w:r>
    </w:p>
    <w:p w14:paraId="36B379B2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Если по каким-то причинам при выплате/выдаче дохода несовершеннолетнему не удалось удержать НДФЛ, тогда сумму неудержанного налога нужно отразить в разделе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4 справки о доходах, а также в поле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170 раздела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2 годового расчета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6-НДФЛ.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Впоследствии он сам или с помощью родителей заплатит НДФЛ на основании присланного из ИФНС уведомлени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я.</w:t>
      </w:r>
    </w:p>
    <w:p w14:paraId="1E506447" w14:textId="77777777" w:rsidR="005635E6" w:rsidRPr="00E730B8" w:rsidRDefault="005635E6" w:rsidP="005635E6">
      <w:pPr>
        <w:pStyle w:val="Heading3"/>
        <w:pBdr>
          <w:top w:val="single" w:sz="2" w:space="12" w:color="E5E7EB"/>
          <w:left w:val="single" w:sz="2" w:space="0" w:color="E5E7EB"/>
          <w:bottom w:val="single" w:sz="2" w:space="6" w:color="E5E7EB"/>
          <w:right w:val="single" w:sz="2" w:space="0" w:color="E5E7EB"/>
        </w:pBdr>
        <w:spacing w:beforeAutospacing="0" w:after="180" w:afterAutospacing="0" w:line="480" w:lineRule="atLeast"/>
        <w:rPr>
          <w:rFonts w:ascii="Georgia" w:hAnsi="Georgia"/>
          <w:color w:val="2E74B5" w:themeColor="accent5" w:themeShade="BF"/>
          <w:sz w:val="39"/>
          <w:szCs w:val="39"/>
        </w:rPr>
      </w:pPr>
      <w:r w:rsidRPr="00E730B8">
        <w:rPr>
          <w:rFonts w:ascii="Georgia" w:hAnsi="Georgia"/>
          <w:color w:val="2E74B5" w:themeColor="accent5" w:themeShade="BF"/>
          <w:sz w:val="39"/>
          <w:szCs w:val="39"/>
        </w:rPr>
        <w:t>Отчетность по страховым взносам</w:t>
      </w:r>
    </w:p>
    <w:p w14:paraId="312BB7D4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Суммы выплат несовершеннолетнему в страховой отчетности нужно отразить в общем порядке. Но еще понадобится указать и персональные данные несовершеннолетнего при заполнении:</w:t>
      </w:r>
    </w:p>
    <w:p w14:paraId="75380360" w14:textId="77777777" w:rsidR="005635E6" w:rsidRPr="00E730B8" w:rsidRDefault="005635E6" w:rsidP="005635E6">
      <w:pPr>
        <w:pStyle w:val="lilvl1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9"/>
          <w:szCs w:val="29"/>
          <w:bdr w:val="single" w:sz="2" w:space="0" w:color="E5E7EB" w:frame="1"/>
          <w:lang w:val="ru-RU"/>
        </w:rPr>
        <w:t>•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подраздела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3.1 раздела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3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РСВ;</w:t>
      </w:r>
    </w:p>
    <w:p w14:paraId="00E65F08" w14:textId="77777777" w:rsidR="005635E6" w:rsidRPr="00E730B8" w:rsidRDefault="005635E6" w:rsidP="005635E6">
      <w:pPr>
        <w:pStyle w:val="lilvl1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9"/>
          <w:szCs w:val="29"/>
          <w:bdr w:val="single" w:sz="2" w:space="0" w:color="E5E7EB" w:frame="1"/>
          <w:lang w:val="ru-RU"/>
        </w:rPr>
        <w:t>•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отчета «Персонифицированные сведения о физических лицах»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(сдается в ИФНС вместо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СЗВ-М,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представляемого в отделение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ПФР);</w:t>
      </w:r>
    </w:p>
    <w:p w14:paraId="20D871C7" w14:textId="77777777" w:rsidR="005635E6" w:rsidRPr="00E730B8" w:rsidRDefault="005635E6" w:rsidP="005635E6">
      <w:pPr>
        <w:pStyle w:val="lilvl1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9"/>
          <w:szCs w:val="29"/>
          <w:bdr w:val="single" w:sz="2" w:space="0" w:color="E5E7EB" w:frame="1"/>
          <w:lang w:val="ru-RU"/>
        </w:rPr>
        <w:t>•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подразделов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1 и 1.1 раздела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1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формы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ЕФС-1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при приеме на работу/увольнении (сдается вместо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СЗВ-ТД),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при заключении/расторжении договора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ГПХ.</w:t>
      </w:r>
    </w:p>
    <w:p w14:paraId="2A9197CB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При заполнении форм, кроме ф. и. о несовершеннолетнего, нужно указывать его ИНН и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СНИЛС.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Поэтому при приеме на работу уточните, оформляли ли несовершеннолетнему СНИЛС его родител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и.</w:t>
      </w:r>
    </w:p>
    <w:p w14:paraId="1CB4D97E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Если СНИЛС у ребенка нет, то зарегистрировать его в СФР должен работодател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ь.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Для этого нужно подать в свое отделение СФР анкету по форме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АДВ-1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с подписью подростка и опись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АДВ-6-1.</w:t>
      </w:r>
    </w:p>
    <w:p w14:paraId="6108770F" w14:textId="77777777" w:rsidR="005635E6" w:rsidRPr="00E730B8" w:rsidRDefault="005635E6" w:rsidP="005635E6">
      <w:pPr>
        <w:pStyle w:val="NormalWeb"/>
        <w:pBdr>
          <w:top w:val="single" w:sz="2" w:space="0" w:color="E5E7EB"/>
          <w:left w:val="single" w:sz="2" w:space="0" w:color="E5E7EB"/>
          <w:bottom w:val="single" w:sz="2" w:space="12" w:color="E5E7EB"/>
          <w:right w:val="single" w:sz="2" w:space="0" w:color="E5E7EB"/>
        </w:pBdr>
        <w:spacing w:before="0" w:beforeAutospacing="0" w:after="0" w:afterAutospacing="0" w:line="360" w:lineRule="atLeast"/>
        <w:jc w:val="both"/>
        <w:rPr>
          <w:rFonts w:ascii="Georgia" w:hAnsi="Georgia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По истечении 5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рабочих дней СФР оформит уведомление по форме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АДИ-РЕГ,</w:t>
      </w:r>
      <w:r w:rsidRPr="00E730B8">
        <w:rPr>
          <w:rFonts w:ascii="Georgia" w:hAnsi="Georgia"/>
          <w:color w:val="2E74B5" w:themeColor="accent5" w:themeShade="BF"/>
          <w:sz w:val="24"/>
          <w:szCs w:val="24"/>
        </w:rPr>
        <w:t> </w:t>
      </w:r>
      <w:r w:rsidRPr="00E730B8">
        <w:rPr>
          <w:rFonts w:ascii="Georgia" w:hAnsi="Georgia"/>
          <w:color w:val="2E74B5" w:themeColor="accent5" w:themeShade="BF"/>
          <w:sz w:val="24"/>
          <w:szCs w:val="24"/>
          <w:lang w:val="ru-RU"/>
        </w:rPr>
        <w:t>которое нужно выдать сотрудник</w:t>
      </w:r>
      <w:r w:rsidRPr="00E730B8">
        <w:rPr>
          <w:rStyle w:val="nw"/>
          <w:rFonts w:ascii="Georgia" w:hAnsi="Georgia"/>
          <w:color w:val="2E74B5" w:themeColor="accent5" w:themeShade="BF"/>
          <w:sz w:val="24"/>
          <w:szCs w:val="24"/>
          <w:bdr w:val="single" w:sz="2" w:space="0" w:color="E5E7EB" w:frame="1"/>
          <w:lang w:val="ru-RU"/>
        </w:rPr>
        <w:t>у.</w:t>
      </w:r>
    </w:p>
    <w:p w14:paraId="151DCBFF" w14:textId="77777777" w:rsidR="005635E6" w:rsidRPr="00E730B8" w:rsidRDefault="005635E6" w:rsidP="00A350CE">
      <w:pPr>
        <w:ind w:firstLine="708"/>
        <w:jc w:val="both"/>
        <w:rPr>
          <w:rFonts w:ascii="Calibri" w:eastAsia="Calibri" w:hAnsi="Calibri" w:cs="Calibri"/>
          <w:color w:val="2E74B5" w:themeColor="accent5" w:themeShade="BF"/>
        </w:rPr>
      </w:pPr>
    </w:p>
    <w:p w14:paraId="2A5F04DD" w14:textId="77777777" w:rsidR="005635E6" w:rsidRPr="00E730B8" w:rsidRDefault="005635E6" w:rsidP="005635E6">
      <w:pPr>
        <w:pStyle w:val="Heading2"/>
        <w:shd w:val="clear" w:color="auto" w:fill="FFFFFF"/>
        <w:spacing w:before="411" w:beforeAutospacing="0" w:after="274" w:afterAutospacing="0" w:line="343" w:lineRule="atLeast"/>
        <w:ind w:left="66"/>
        <w:jc w:val="center"/>
        <w:textAlignment w:val="baseline"/>
        <w:rPr>
          <w:rFonts w:ascii="PT Serif" w:hAnsi="PT Serif"/>
          <w:color w:val="2E74B5" w:themeColor="accent5" w:themeShade="BF"/>
          <w:sz w:val="61"/>
          <w:szCs w:val="61"/>
        </w:rPr>
      </w:pPr>
      <w:r w:rsidRPr="00E730B8">
        <w:rPr>
          <w:rFonts w:ascii="PT Serif" w:hAnsi="PT Serif"/>
          <w:b/>
          <w:bCs/>
          <w:color w:val="2E74B5" w:themeColor="accent5" w:themeShade="BF"/>
          <w:sz w:val="61"/>
          <w:szCs w:val="61"/>
        </w:rPr>
        <w:lastRenderedPageBreak/>
        <w:t>ФЕДЕРАЛЬНАЯ НАЛОГОВАЯ СЛУЖБА</w:t>
      </w:r>
    </w:p>
    <w:p w14:paraId="1A4A4C82" w14:textId="77777777" w:rsidR="005635E6" w:rsidRPr="00E730B8" w:rsidRDefault="005635E6" w:rsidP="005635E6">
      <w:pPr>
        <w:pStyle w:val="Heading2"/>
        <w:shd w:val="clear" w:color="auto" w:fill="FFFFFF"/>
        <w:spacing w:beforeAutospacing="0" w:after="274" w:afterAutospacing="0" w:line="343" w:lineRule="atLeast"/>
        <w:ind w:left="66"/>
        <w:jc w:val="center"/>
        <w:textAlignment w:val="baseline"/>
        <w:rPr>
          <w:rFonts w:ascii="PT Serif" w:hAnsi="PT Serif"/>
          <w:b/>
          <w:bCs/>
          <w:color w:val="2E74B5" w:themeColor="accent5" w:themeShade="BF"/>
          <w:sz w:val="61"/>
          <w:szCs w:val="61"/>
        </w:rPr>
      </w:pPr>
      <w:r w:rsidRPr="00E730B8">
        <w:rPr>
          <w:rFonts w:ascii="PT Serif" w:hAnsi="PT Serif"/>
          <w:b/>
          <w:bCs/>
          <w:color w:val="2E74B5" w:themeColor="accent5" w:themeShade="BF"/>
          <w:sz w:val="61"/>
          <w:szCs w:val="61"/>
        </w:rPr>
        <w:t>ПИСЬМО</w:t>
      </w:r>
      <w:r w:rsidRPr="00E730B8">
        <w:rPr>
          <w:rFonts w:ascii="PT Serif" w:hAnsi="PT Serif"/>
          <w:b/>
          <w:bCs/>
          <w:color w:val="2E74B5" w:themeColor="accent5" w:themeShade="BF"/>
          <w:sz w:val="61"/>
          <w:szCs w:val="61"/>
        </w:rPr>
        <w:br/>
        <w:t>от 22 сентября 2021 г. N БС-2-21/1378@</w:t>
      </w:r>
    </w:p>
    <w:p w14:paraId="2F65CFE0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Федеральная налоговая служба рассмотрела обращение, поступившее письмом от 09.09.2021, по вопросу исчисления и уплаты налога на имущество физических лиц в отношении несовершеннолетних детей и сообщает следующее.</w:t>
      </w:r>
    </w:p>
    <w:p w14:paraId="6FE48423" w14:textId="77777777" w:rsidR="005635E6" w:rsidRPr="00E730B8" w:rsidRDefault="0020162C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hyperlink r:id="rId6" w:anchor="l114" w:tgtFrame="_blank" w:history="1">
        <w:r w:rsidR="005635E6" w:rsidRPr="00E730B8">
          <w:rPr>
            <w:rStyle w:val="Hyperlink"/>
            <w:rFonts w:ascii="PT Serif" w:hAnsi="PT Serif"/>
            <w:color w:val="2E74B5" w:themeColor="accent5" w:themeShade="BF"/>
            <w:sz w:val="24"/>
            <w:szCs w:val="24"/>
            <w:lang w:val="ru-RU"/>
          </w:rPr>
          <w:t>Статьей 57</w:t>
        </w:r>
      </w:hyperlink>
      <w:r w:rsidR="005635E6"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r w:rsidR="005635E6"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Конституции Российской Федерации установлено, что каждый обязан платить законно установленные налоги и сборы.</w:t>
      </w:r>
      <w:bookmarkStart w:id="0" w:name="l1"/>
      <w:bookmarkEnd w:id="0"/>
    </w:p>
    <w:p w14:paraId="2CAE22A9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Законодательство Российской Федерации о налогах и сборах состоит из Налогового кодекса Российской Федерации (далее - Кодекс) и принятых в соответствии с ним федеральных законов о налогах и сборах.</w:t>
      </w:r>
    </w:p>
    <w:p w14:paraId="2F746F42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В соответствии со</w:t>
      </w:r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hyperlink r:id="rId7" w:anchor="l2326" w:tgtFrame="_blank" w:history="1">
        <w:r w:rsidRPr="00E730B8">
          <w:rPr>
            <w:rStyle w:val="Hyperlink"/>
            <w:rFonts w:ascii="PT Serif" w:hAnsi="PT Serif"/>
            <w:color w:val="2E74B5" w:themeColor="accent5" w:themeShade="BF"/>
            <w:sz w:val="24"/>
            <w:szCs w:val="24"/>
            <w:lang w:val="ru-RU"/>
          </w:rPr>
          <w:t>статьей 45</w:t>
        </w:r>
      </w:hyperlink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Кодекса налогоплательщик обязан самостоятельно исполнить обязанность по уплате налога, если иное не предусмотрено законодательством о налогах и сборах.</w:t>
      </w:r>
    </w:p>
    <w:p w14:paraId="20DD03DB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На основании</w:t>
      </w:r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hyperlink r:id="rId8" w:anchor="l2256" w:tgtFrame="_blank" w:history="1">
        <w:r w:rsidRPr="00E730B8">
          <w:rPr>
            <w:rStyle w:val="Hyperlink"/>
            <w:rFonts w:ascii="PT Serif" w:hAnsi="PT Serif"/>
            <w:color w:val="2E74B5" w:themeColor="accent5" w:themeShade="BF"/>
            <w:sz w:val="24"/>
            <w:szCs w:val="24"/>
            <w:lang w:val="ru-RU"/>
          </w:rPr>
          <w:t>пункта 1</w:t>
        </w:r>
      </w:hyperlink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статьи 26 Кодекса налогоплательщик может участвовать в отношениях, регулируемых законодательством Российской Федерации о налогах и сборах через законного или уполномоченного представителя.</w:t>
      </w:r>
      <w:bookmarkStart w:id="1" w:name="l2"/>
      <w:bookmarkEnd w:id="1"/>
    </w:p>
    <w:p w14:paraId="59E9A9F8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В соответствии с</w:t>
      </w:r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hyperlink r:id="rId9" w:anchor="l2945" w:tgtFrame="_blank" w:history="1">
        <w:r w:rsidRPr="00E730B8">
          <w:rPr>
            <w:rStyle w:val="Hyperlink"/>
            <w:rFonts w:ascii="PT Serif" w:hAnsi="PT Serif"/>
            <w:color w:val="2E74B5" w:themeColor="accent5" w:themeShade="BF"/>
            <w:sz w:val="24"/>
            <w:szCs w:val="24"/>
            <w:lang w:val="ru-RU"/>
          </w:rPr>
          <w:t>пунктом 2</w:t>
        </w:r>
      </w:hyperlink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статьи 27 Кодекса законными представителями налогоплательщика -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14:paraId="742A7EE2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Так, за несовершеннолетних, не достигших четырнадцати лет (малолетних), сделки могут совершать от их имени их родители, усыновители или опекуны, за исключением тех сделок, которые указаны в</w:t>
      </w:r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hyperlink r:id="rId10" w:anchor="l118" w:tgtFrame="_blank" w:history="1">
        <w:r w:rsidRPr="00E730B8">
          <w:rPr>
            <w:rStyle w:val="Hyperlink"/>
            <w:rFonts w:ascii="PT Serif" w:hAnsi="PT Serif"/>
            <w:color w:val="2E74B5" w:themeColor="accent5" w:themeShade="BF"/>
            <w:sz w:val="24"/>
            <w:szCs w:val="24"/>
            <w:lang w:val="ru-RU"/>
          </w:rPr>
          <w:t>пункте 2</w:t>
        </w:r>
      </w:hyperlink>
      <w:r w:rsidRPr="00E730B8">
        <w:rPr>
          <w:rFonts w:ascii="PT Serif" w:hAnsi="PT Serif"/>
          <w:color w:val="2E74B5" w:themeColor="accent5" w:themeShade="BF"/>
          <w:sz w:val="24"/>
          <w:szCs w:val="24"/>
        </w:rPr>
        <w:t> 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>статьи 28 Гражданского кодекса Российской Федерации.</w:t>
      </w:r>
      <w:bookmarkStart w:id="2" w:name="l4"/>
      <w:bookmarkEnd w:id="2"/>
    </w:p>
    <w:p w14:paraId="1D52A49B" w14:textId="77777777" w:rsidR="005635E6" w:rsidRPr="00E730B8" w:rsidRDefault="005635E6" w:rsidP="005635E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t xml:space="preserve">Таким образом, родители (усыновители, опекуны, попечители) как законные представители несовершеннолетних детей, имеющих в собственности 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lastRenderedPageBreak/>
        <w:t>имущество, подлежащее налогообложению, осуществляют правомочия по управлению данным имуществом, в том числе и исполняют обязанности по уплате налогов в отношении этого имущества.</w:t>
      </w:r>
      <w:bookmarkStart w:id="3" w:name="l3"/>
      <w:bookmarkEnd w:id="3"/>
    </w:p>
    <w:p w14:paraId="06819592" w14:textId="77777777" w:rsidR="005635E6" w:rsidRPr="00E730B8" w:rsidRDefault="005635E6" w:rsidP="005635E6">
      <w:pPr>
        <w:pStyle w:val="NormalWeb"/>
        <w:shd w:val="clear" w:color="auto" w:fill="FFFFFF"/>
        <w:spacing w:before="0" w:beforeAutospacing="0" w:after="300" w:afterAutospacing="0"/>
        <w:jc w:val="right"/>
        <w:textAlignment w:val="baseline"/>
        <w:rPr>
          <w:rFonts w:ascii="PT Serif" w:hAnsi="PT Serif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PT Serif" w:hAnsi="PT Serif"/>
          <w:i/>
          <w:iCs/>
          <w:color w:val="2E74B5" w:themeColor="accent5" w:themeShade="BF"/>
          <w:sz w:val="24"/>
          <w:szCs w:val="24"/>
          <w:lang w:val="ru-RU"/>
        </w:rPr>
        <w:t>Действительный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br/>
      </w:r>
      <w:r w:rsidRPr="00E730B8">
        <w:rPr>
          <w:rFonts w:ascii="PT Serif" w:hAnsi="PT Serif"/>
          <w:i/>
          <w:iCs/>
          <w:color w:val="2E74B5" w:themeColor="accent5" w:themeShade="BF"/>
          <w:sz w:val="24"/>
          <w:szCs w:val="24"/>
          <w:lang w:val="ru-RU"/>
        </w:rPr>
        <w:t>государственный советник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br/>
      </w:r>
      <w:r w:rsidRPr="00E730B8">
        <w:rPr>
          <w:rFonts w:ascii="PT Serif" w:hAnsi="PT Serif"/>
          <w:i/>
          <w:iCs/>
          <w:color w:val="2E74B5" w:themeColor="accent5" w:themeShade="BF"/>
          <w:sz w:val="24"/>
          <w:szCs w:val="24"/>
          <w:lang w:val="ru-RU"/>
        </w:rPr>
        <w:t>Российской Федерации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br/>
      </w:r>
      <w:r w:rsidRPr="00E730B8">
        <w:rPr>
          <w:rFonts w:ascii="PT Serif" w:hAnsi="PT Serif"/>
          <w:i/>
          <w:iCs/>
          <w:color w:val="2E74B5" w:themeColor="accent5" w:themeShade="BF"/>
          <w:sz w:val="24"/>
          <w:szCs w:val="24"/>
          <w:lang w:val="ru-RU"/>
        </w:rPr>
        <w:t>2 класса</w:t>
      </w:r>
      <w:r w:rsidRPr="00E730B8">
        <w:rPr>
          <w:rFonts w:ascii="PT Serif" w:hAnsi="PT Serif"/>
          <w:color w:val="2E74B5" w:themeColor="accent5" w:themeShade="BF"/>
          <w:sz w:val="24"/>
          <w:szCs w:val="24"/>
          <w:lang w:val="ru-RU"/>
        </w:rPr>
        <w:br/>
      </w:r>
      <w:r w:rsidRPr="00E730B8">
        <w:rPr>
          <w:rFonts w:ascii="PT Serif" w:hAnsi="PT Serif"/>
          <w:i/>
          <w:iCs/>
          <w:color w:val="2E74B5" w:themeColor="accent5" w:themeShade="BF"/>
          <w:sz w:val="24"/>
          <w:szCs w:val="24"/>
          <w:lang w:val="ru-RU"/>
        </w:rPr>
        <w:t>С.Л. БОНДАРЧУК</w:t>
      </w:r>
    </w:p>
    <w:p w14:paraId="3E83ACC0" w14:textId="77777777" w:rsidR="005635E6" w:rsidRPr="00E730B8" w:rsidRDefault="005635E6" w:rsidP="005635E6">
      <w:pPr>
        <w:pStyle w:val="Heading1"/>
        <w:spacing w:beforeAutospacing="0" w:after="161" w:afterAutospacing="0"/>
        <w:rPr>
          <w:color w:val="2E74B5" w:themeColor="accent5" w:themeShade="BF"/>
          <w:sz w:val="42"/>
          <w:szCs w:val="42"/>
        </w:rPr>
      </w:pPr>
      <w:r w:rsidRPr="00E730B8">
        <w:rPr>
          <w:b/>
          <w:bCs/>
          <w:color w:val="2E74B5" w:themeColor="accent5" w:themeShade="BF"/>
          <w:sz w:val="42"/>
          <w:szCs w:val="42"/>
        </w:rPr>
        <w:t>ПИСЬМО Минфина России от 22.07.2024 № 03-04-05/68467</w:t>
      </w:r>
    </w:p>
    <w:p w14:paraId="5C8729E6" w14:textId="77777777" w:rsidR="005635E6" w:rsidRPr="00E730B8" w:rsidRDefault="0020162C" w:rsidP="005635E6">
      <w:pPr>
        <w:spacing w:line="360" w:lineRule="atLeast"/>
        <w:rPr>
          <w:color w:val="2E74B5" w:themeColor="accent5" w:themeShade="BF"/>
        </w:rPr>
      </w:pPr>
      <w:hyperlink r:id="rId11" w:history="1">
        <w:r w:rsidR="005635E6" w:rsidRPr="00E730B8">
          <w:rPr>
            <w:rStyle w:val="Hyperlink"/>
            <w:color w:val="2E74B5" w:themeColor="accent5" w:themeShade="BF"/>
            <w:u w:val="none"/>
          </w:rPr>
          <w:t>Налог на доходы физических лиц</w:t>
        </w:r>
      </w:hyperlink>
      <w:hyperlink r:id="rId12" w:history="1">
        <w:r w:rsidR="005635E6" w:rsidRPr="00E730B8">
          <w:rPr>
            <w:rStyle w:val="Hyperlink"/>
            <w:color w:val="2E74B5" w:themeColor="accent5" w:themeShade="BF"/>
            <w:u w:val="none"/>
          </w:rPr>
          <w:t>НДФЛ</w:t>
        </w:r>
      </w:hyperlink>
    </w:p>
    <w:p w14:paraId="485F48D3" w14:textId="77777777" w:rsidR="005635E6" w:rsidRPr="00E730B8" w:rsidRDefault="005635E6" w:rsidP="005635E6">
      <w:pPr>
        <w:spacing w:line="240" w:lineRule="auto"/>
        <w:rPr>
          <w:color w:val="2E74B5" w:themeColor="accent5" w:themeShade="BF"/>
          <w:sz w:val="28"/>
          <w:szCs w:val="28"/>
        </w:rPr>
      </w:pPr>
      <w:r w:rsidRPr="00E730B8">
        <w:rPr>
          <w:color w:val="2E74B5" w:themeColor="accent5" w:themeShade="BF"/>
        </w:rPr>
        <w:t> </w:t>
      </w:r>
    </w:p>
    <w:p w14:paraId="0A79B28D" w14:textId="77777777" w:rsidR="005635E6" w:rsidRPr="00E730B8" w:rsidRDefault="005635E6" w:rsidP="005635E6">
      <w:pPr>
        <w:shd w:val="clear" w:color="auto" w:fill="C85A1B"/>
        <w:spacing w:line="405" w:lineRule="atLeast"/>
        <w:jc w:val="center"/>
        <w:rPr>
          <w:color w:val="2E74B5" w:themeColor="accent5" w:themeShade="BF"/>
        </w:rPr>
      </w:pPr>
      <w:r w:rsidRPr="00E730B8">
        <w:rPr>
          <w:color w:val="2E74B5" w:themeColor="accent5" w:themeShade="BF"/>
        </w:rPr>
        <w:t>20 сентября 2024</w:t>
      </w:r>
    </w:p>
    <w:p w14:paraId="79C39446" w14:textId="77777777" w:rsidR="005635E6" w:rsidRPr="00E730B8" w:rsidRDefault="005635E6" w:rsidP="005635E6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Style w:val="Strong"/>
          <w:rFonts w:ascii="Roboto" w:hAnsi="Roboto"/>
          <w:color w:val="2E74B5" w:themeColor="accent5" w:themeShade="BF"/>
          <w:sz w:val="24"/>
          <w:szCs w:val="24"/>
          <w:lang w:val="ru-RU"/>
        </w:rPr>
        <w:t>Вопрос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: Об НДФЛ и представлении декларации при получении несовершеннолетними детьми дохода от сдачи в аренду недвижимого имущества.</w:t>
      </w:r>
    </w:p>
    <w:p w14:paraId="5F1C4574" w14:textId="77777777" w:rsidR="005635E6" w:rsidRPr="00E730B8" w:rsidRDefault="005635E6" w:rsidP="005635E6">
      <w:pPr>
        <w:pStyle w:val="NormalWeb"/>
        <w:shd w:val="clear" w:color="auto" w:fill="FFFFFF"/>
        <w:spacing w:before="240" w:beforeAutospacing="0" w:after="240" w:afterAutospacing="0" w:line="384" w:lineRule="atLeast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Style w:val="Strong"/>
          <w:rFonts w:ascii="Roboto" w:hAnsi="Roboto"/>
          <w:color w:val="2E74B5" w:themeColor="accent5" w:themeShade="BF"/>
          <w:sz w:val="24"/>
          <w:szCs w:val="24"/>
          <w:lang w:val="ru-RU"/>
        </w:rPr>
        <w:t>Ответ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:</w:t>
      </w:r>
    </w:p>
    <w:p w14:paraId="5AA14F14" w14:textId="77777777" w:rsidR="005635E6" w:rsidRPr="00E730B8" w:rsidRDefault="005635E6" w:rsidP="005635E6">
      <w:pPr>
        <w:pStyle w:val="NormalWeb"/>
        <w:shd w:val="clear" w:color="auto" w:fill="FFFFFF"/>
        <w:spacing w:before="240" w:beforeAutospacing="0" w:after="240" w:afterAutospacing="0" w:line="384" w:lineRule="atLeast"/>
        <w:jc w:val="center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МИНИСТЕРСТВО ФИНАНСОВ РОССИЙСКОЙ ФЕДЕРАЦИИ</w:t>
      </w:r>
    </w:p>
    <w:p w14:paraId="7963873B" w14:textId="77777777" w:rsidR="005635E6" w:rsidRPr="00E730B8" w:rsidRDefault="005635E6" w:rsidP="005635E6">
      <w:pPr>
        <w:pStyle w:val="NormalWeb"/>
        <w:shd w:val="clear" w:color="auto" w:fill="FFFFFF"/>
        <w:spacing w:before="240" w:beforeAutospacing="0" w:after="240" w:afterAutospacing="0" w:line="384" w:lineRule="atLeast"/>
        <w:jc w:val="center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ПИСЬМО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 xml:space="preserve">от 22 июля 2024 г. </w:t>
      </w:r>
      <w:r w:rsidRPr="00E730B8">
        <w:rPr>
          <w:rFonts w:ascii="Roboto" w:hAnsi="Roboto"/>
          <w:color w:val="2E74B5" w:themeColor="accent5" w:themeShade="BF"/>
          <w:sz w:val="24"/>
          <w:szCs w:val="24"/>
        </w:rPr>
        <w:t>N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 xml:space="preserve"> 03-04-05/68467</w:t>
      </w:r>
    </w:p>
    <w:p w14:paraId="7A47E1E2" w14:textId="77777777" w:rsidR="005635E6" w:rsidRPr="00E730B8" w:rsidRDefault="005635E6" w:rsidP="005635E6">
      <w:pPr>
        <w:pStyle w:val="NormalWeb"/>
        <w:shd w:val="clear" w:color="auto" w:fill="FFFFFF"/>
        <w:spacing w:before="240" w:beforeAutospacing="0" w:after="240" w:afterAutospacing="0" w:line="384" w:lineRule="atLeast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 xml:space="preserve">Департамент налоговой политики (далее — Департамент) рассмотрел обращение от 23.05.2024 и сообщает, что в соответствии с Регламентом Минфина России, утвержденным приказом Минфина России от 14.09.2018 </w:t>
      </w:r>
      <w:r w:rsidRPr="00E730B8">
        <w:rPr>
          <w:rFonts w:ascii="Roboto" w:hAnsi="Roboto"/>
          <w:color w:val="2E74B5" w:themeColor="accent5" w:themeShade="BF"/>
          <w:sz w:val="24"/>
          <w:szCs w:val="24"/>
        </w:rPr>
        <w:t>N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 xml:space="preserve"> 194н, в Минфине России, если законодательством не установлено иное, не рассматриваются по существу обращения по оценке конкретных хозяйственных ситуаций.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Консультационные услуги Департаментом также не оказываются.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Одновременно разъясняем, что согласно статье 209 Налогового кодекса Российской Федерации (далее — Кодекс) объектом налогообложения налогом на доходы физических лиц признается доход, полученный налогоплательщиками — налоговыми резидентами Российской Федерации как от источников в Российской Федерации, так и от источников за пределами Российской Федерации, а для физических лиц, не являющихся налоговыми резидентами, только от источников в Российской Федерации.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 xml:space="preserve">На основании пункта 1 статьи 226 Кодекса, в частности, российские организации 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lastRenderedPageBreak/>
        <w:t>и индивидуальные предприниматели, от которых или в результате отношений с которыми налогоплательщик получил доходы, указанные в пункте 2 статьи 226 Кодекса, обязаны исчислить, удержать у налогоплательщика и уплатить сумму налога на доходы физических лиц.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Указанные российские организации именуются в главе 23 «Налог на доходы физических лиц» Кодекса налоговыми агентами.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Пунктом 2 статьи 226 Кодекса установлено, что исчисление сумм и уплата налога в соответствии со статьей 226 Кодекса производятся в отношении всех доходов налогоплательщика, источником которых является налоговый агент, с зачетом ранее удержанных сумм налога (за исключением доходов, в отношении которых исчисление сумм налога производится в соответствии со статьей 214.7 Кодекса), а в случаях и порядке, предусмотренных статьей 227.1 Кодекса, также с учетом уменьшения на суммы фиксированных авансовых платежей, уплаченных налогоплательщиком.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Особенности исчисления и (или) уплаты налога по отдельным видам доходов устанавливаются статьями 214.3, 214.4, 214.5, 214.6, 214.7, 226.1, 226.2, 227 и 228 Кодекса.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Учитывая изложенное, по общему правилу налоговые агенты при выплате налогоплательщику дохода, источником которого они являются, обязаны исчислить, удержать у налогоплательщика и уплатить сумму налога на доходы физических лиц.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В то же время на основании подпункта 1 пункта 1 статьи 228 Кодекса исчисление и уплату налога в соответствии со статьей 228 Налогового кодекса производят физические лица исходя из сумм вознаграждений, полученных от физических лиц и организаций, не являющихся налоговыми агентами, на основе заключенных трудовых договоров и договоров гражданско-правового характера, включая доходы по договорам найма или договорам аренды любого имущества.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Согласно пунктам 2 и 3 статьи 228 Кодекса налогоплательщики, указанные в пункте 1 статьи 228 Кодекса, самостоятельно исчисляют суммы налога, подлежащие уплате в соответствующий бюджет, в порядке, установленном статьей 225 Кодекса, а также обязаны представить в налоговый орган по месту своего учета соответствующую налоговую декларацию.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Пунктом 2 статьи 27 Кодекса установлено, что законными представителями налогоплательщика —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lastRenderedPageBreak/>
        <w:t>В соответствии со статьями 26 и 28 Гражданского кодекса Российской Федерации законными представителями несовершеннолетних являются их родители.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 xml:space="preserve">В этой связи при получении несовершеннолетним ребенком дохода, в частности, от сдачи в аренду недвижимого имущества в определенных случаях родителю </w:t>
      </w:r>
      <w:r w:rsidRPr="00E730B8">
        <w:rPr>
          <w:rFonts w:ascii="Roboto" w:hAnsi="Roboto"/>
          <w:color w:val="FF0000"/>
          <w:sz w:val="24"/>
          <w:szCs w:val="24"/>
          <w:lang w:val="ru-RU"/>
        </w:rPr>
        <w:t xml:space="preserve">несовершеннолетнего ребенка 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 xml:space="preserve">необходимо представить </w:t>
      </w:r>
      <w:r w:rsidRPr="00E730B8">
        <w:rPr>
          <w:rFonts w:ascii="Roboto" w:hAnsi="Roboto"/>
          <w:color w:val="FF0000"/>
          <w:sz w:val="24"/>
          <w:szCs w:val="24"/>
          <w:lang w:val="ru-RU"/>
        </w:rPr>
        <w:t xml:space="preserve">от его имени 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в налоговый орган налоговую декларацию по налогу на доходы физических лиц.</w:t>
      </w:r>
    </w:p>
    <w:p w14:paraId="32B19A42" w14:textId="77777777" w:rsidR="005635E6" w:rsidRPr="00E730B8" w:rsidRDefault="005635E6" w:rsidP="005635E6">
      <w:pPr>
        <w:pStyle w:val="NormalWeb"/>
        <w:shd w:val="clear" w:color="auto" w:fill="FFFFFF"/>
        <w:spacing w:before="240" w:beforeAutospacing="0" w:after="240" w:afterAutospacing="0" w:line="384" w:lineRule="atLeast"/>
        <w:jc w:val="right"/>
        <w:rPr>
          <w:rFonts w:ascii="Roboto" w:hAnsi="Roboto"/>
          <w:color w:val="2E74B5" w:themeColor="accent5" w:themeShade="BF"/>
          <w:sz w:val="24"/>
          <w:szCs w:val="24"/>
          <w:lang w:val="ru-RU"/>
        </w:rPr>
      </w:pP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t>Заместитель директора Департамента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В.В.САШИЧЕВ</w:t>
      </w:r>
      <w:r w:rsidRPr="00E730B8">
        <w:rPr>
          <w:rFonts w:ascii="Roboto" w:hAnsi="Roboto"/>
          <w:color w:val="2E74B5" w:themeColor="accent5" w:themeShade="BF"/>
          <w:sz w:val="24"/>
          <w:szCs w:val="24"/>
          <w:lang w:val="ru-RU"/>
        </w:rPr>
        <w:br/>
        <w:t>22.07.2024</w:t>
      </w:r>
    </w:p>
    <w:p w14:paraId="2AE5CD7B" w14:textId="77777777" w:rsidR="006531B6" w:rsidRPr="00E730B8" w:rsidRDefault="006531B6" w:rsidP="00A350CE">
      <w:pPr>
        <w:ind w:firstLine="708"/>
        <w:jc w:val="both"/>
        <w:rPr>
          <w:rFonts w:ascii="Calibri" w:eastAsia="Calibri" w:hAnsi="Calibri" w:cs="Calibri"/>
        </w:rPr>
      </w:pPr>
      <w:r w:rsidRPr="00E730B8">
        <w:rPr>
          <w:rFonts w:ascii="Times New Roman" w:hAnsi="Times New Roman" w:cs="Times New Roman"/>
          <w:b/>
          <w:sz w:val="36"/>
        </w:rPr>
        <w:t>9. Марина Михайловна В.</w:t>
      </w:r>
    </w:p>
    <w:p w14:paraId="4D08AA4B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6079EB71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Вопрос по приносящей доход деятельности для общественной организации.</w:t>
      </w:r>
    </w:p>
    <w:p w14:paraId="404A32FB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Обязательна ли касса (онлайн или терминал, или и то, и другое) для осуществления приносящей доход деятельности, если планируется принимать платежи только безналичным расчетом, по QR коду?</w:t>
      </w:r>
    </w:p>
    <w:p w14:paraId="7992945B" w14:textId="77777777" w:rsidR="006531B6" w:rsidRPr="007A3B62" w:rsidRDefault="006531B6" w:rsidP="00A350C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36"/>
        </w:rPr>
        <w:t>Имеет ли значение, с кем будет сотрудничать организация по платным услугам (физлица или юридические лица) с этой точки зрения? Для сотрудничества с юрлицами онлайн-касса обязательна даже для безналичных расчетов.</w:t>
      </w:r>
    </w:p>
    <w:p w14:paraId="07526AB6" w14:textId="33352974" w:rsidR="006531B6" w:rsidRDefault="006531B6" w:rsidP="00A350CE">
      <w:pPr>
        <w:ind w:firstLine="708"/>
        <w:jc w:val="both"/>
        <w:rPr>
          <w:rFonts w:ascii="Times New Roman" w:hAnsi="Times New Roman" w:cs="Times New Roman"/>
          <w:b/>
          <w:sz w:val="36"/>
        </w:rPr>
      </w:pPr>
    </w:p>
    <w:p w14:paraId="1984251A" w14:textId="55796562" w:rsidR="00E25229" w:rsidRPr="00E730B8" w:rsidRDefault="00E25229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  <w:r w:rsidRPr="00E730B8">
        <w:rPr>
          <w:color w:val="2E74B5" w:themeColor="accent5" w:themeShade="BF"/>
          <w:sz w:val="24"/>
          <w:szCs w:val="24"/>
          <w:shd w:val="clear" w:color="auto" w:fill="FFFFFF"/>
        </w:rPr>
        <w:t>Да, ККТ применяется при получении безналичных платежей по QR-коду от физических лиц, так как это один из способов проведения расчетов, требующий выдачи кассового чека. Исключение составляют случаи, когда платеж поступает от другого юридического лица или ИП, и если предприниматель является самозанятым или находится на патенте и оказывает определенные услуги.</w:t>
      </w:r>
      <w:r w:rsidRPr="00E730B8">
        <w:rPr>
          <w:rStyle w:val="uv3um"/>
          <w:color w:val="2E74B5" w:themeColor="accent5" w:themeShade="BF"/>
          <w:sz w:val="24"/>
          <w:szCs w:val="24"/>
          <w:shd w:val="clear" w:color="auto" w:fill="FFFFFF"/>
        </w:rPr>
        <w:t> </w:t>
      </w:r>
    </w:p>
    <w:p w14:paraId="2D333220" w14:textId="2016C114" w:rsidR="00E25229" w:rsidRPr="00E730B8" w:rsidRDefault="00E25229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</w:p>
    <w:p w14:paraId="21E4F743" w14:textId="77777777" w:rsidR="00E25229" w:rsidRPr="00E730B8" w:rsidRDefault="00E25229" w:rsidP="00E25229">
      <w:pPr>
        <w:shd w:val="clear" w:color="auto" w:fill="FFFFFF"/>
        <w:spacing w:line="420" w:lineRule="atLeast"/>
        <w:rPr>
          <w:color w:val="2E74B5" w:themeColor="accent5" w:themeShade="BF"/>
          <w:sz w:val="30"/>
          <w:szCs w:val="30"/>
          <w:lang w:val="en-US" w:bidi="th-TH"/>
          <w14:ligatures w14:val="none"/>
        </w:rPr>
      </w:pPr>
      <w:proofErr w:type="spellStart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>Когда</w:t>
      </w:r>
      <w:proofErr w:type="spellEnd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 </w:t>
      </w:r>
      <w:proofErr w:type="spellStart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>нужно</w:t>
      </w:r>
      <w:proofErr w:type="spellEnd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 </w:t>
      </w:r>
      <w:proofErr w:type="spellStart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>применять</w:t>
      </w:r>
      <w:proofErr w:type="spellEnd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 ККТ</w:t>
      </w:r>
    </w:p>
    <w:p w14:paraId="67EE7FC8" w14:textId="77777777" w:rsidR="00E25229" w:rsidRPr="00E730B8" w:rsidRDefault="00E25229" w:rsidP="00E25229">
      <w:pPr>
        <w:numPr>
          <w:ilvl w:val="0"/>
          <w:numId w:val="4"/>
        </w:numPr>
        <w:shd w:val="clear" w:color="auto" w:fill="FFFFFF"/>
        <w:spacing w:after="120" w:line="360" w:lineRule="atLeast"/>
        <w:rPr>
          <w:color w:val="2E74B5" w:themeColor="accent5" w:themeShade="BF"/>
          <w:sz w:val="24"/>
          <w:szCs w:val="24"/>
          <w:lang w:val="en-US" w:bidi="th-TH"/>
          <w14:ligatures w14:val="none"/>
        </w:rPr>
      </w:pP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Расчеты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с </w:t>
      </w: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физическими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лицами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43A90F92" w14:textId="77777777" w:rsidR="00E25229" w:rsidRPr="00E730B8" w:rsidRDefault="00E25229" w:rsidP="00E25229">
      <w:pPr>
        <w:shd w:val="clear" w:color="auto" w:fill="FFFFFF"/>
        <w:spacing w:after="120" w:line="360" w:lineRule="atLeast"/>
        <w:ind w:left="720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 xml:space="preserve">Организации и ИП обязаны применять ККТ при получении любых безналичных платежей от физлиц, включая оплату по 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QR</w:t>
      </w: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>-коду.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47C72DCE" w14:textId="77777777" w:rsidR="00E25229" w:rsidRPr="00E730B8" w:rsidRDefault="00E25229" w:rsidP="00E25229">
      <w:pPr>
        <w:numPr>
          <w:ilvl w:val="0"/>
          <w:numId w:val="4"/>
        </w:numPr>
        <w:shd w:val="clear" w:color="auto" w:fill="FFFFFF"/>
        <w:spacing w:after="120" w:line="360" w:lineRule="atLeast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lastRenderedPageBreak/>
        <w:t>Момент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расчета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3F35028A" w14:textId="77777777" w:rsidR="00E25229" w:rsidRPr="00E730B8" w:rsidRDefault="00E25229" w:rsidP="00E25229">
      <w:pPr>
        <w:shd w:val="clear" w:color="auto" w:fill="FFFFFF"/>
        <w:spacing w:after="120" w:line="360" w:lineRule="atLeast"/>
        <w:ind w:left="720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>Кассовый чек должен быть сформирован в момент проведения расчета, аналогично оплате по эквайрингу.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6FAF45A4" w14:textId="77777777" w:rsidR="00E25229" w:rsidRPr="00E730B8" w:rsidRDefault="00E25229" w:rsidP="00E25229">
      <w:pPr>
        <w:numPr>
          <w:ilvl w:val="0"/>
          <w:numId w:val="4"/>
        </w:numPr>
        <w:shd w:val="clear" w:color="auto" w:fill="FFFFFF"/>
        <w:spacing w:line="360" w:lineRule="atLeast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Оплата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в </w:t>
      </w: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интернете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320F98CB" w14:textId="77777777" w:rsidR="00E25229" w:rsidRPr="00E730B8" w:rsidRDefault="00E25229" w:rsidP="00E25229">
      <w:pPr>
        <w:shd w:val="clear" w:color="auto" w:fill="FFFFFF"/>
        <w:spacing w:line="360" w:lineRule="atLeast"/>
        <w:ind w:left="720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 xml:space="preserve">При оплате по 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QR</w:t>
      </w: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>-коду через интернет-магазин чек формируется мгновенно и направляется на электронную почту покупателя или абонентский номер.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1B657319" w14:textId="77777777" w:rsidR="00E25229" w:rsidRPr="00E730B8" w:rsidRDefault="00E25229" w:rsidP="00E25229">
      <w:pPr>
        <w:shd w:val="clear" w:color="auto" w:fill="FFFFFF"/>
        <w:spacing w:line="420" w:lineRule="atLeast"/>
        <w:rPr>
          <w:rFonts w:ascii="Angsana New" w:hAnsi="Angsana New" w:cs="Angsana New"/>
          <w:color w:val="2E74B5" w:themeColor="accent5" w:themeShade="BF"/>
          <w:sz w:val="30"/>
          <w:szCs w:val="30"/>
          <w:lang w:val="en-US" w:bidi="th-TH"/>
          <w14:ligatures w14:val="none"/>
        </w:rPr>
      </w:pPr>
      <w:proofErr w:type="spellStart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>Когда</w:t>
      </w:r>
      <w:proofErr w:type="spellEnd"/>
      <w:r w:rsidRPr="00E730B8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 ККТ не требуется</w:t>
      </w:r>
    </w:p>
    <w:p w14:paraId="1DFD4746" w14:textId="77777777" w:rsidR="00E25229" w:rsidRPr="00E730B8" w:rsidRDefault="00E25229" w:rsidP="00E25229">
      <w:pPr>
        <w:numPr>
          <w:ilvl w:val="0"/>
          <w:numId w:val="5"/>
        </w:numPr>
        <w:shd w:val="clear" w:color="auto" w:fill="FFFFFF"/>
        <w:spacing w:after="120" w:line="360" w:lineRule="atLeast"/>
        <w:rPr>
          <w:color w:val="2E74B5" w:themeColor="accent5" w:themeShade="BF"/>
          <w:sz w:val="24"/>
          <w:szCs w:val="24"/>
          <w:lang w:bidi="th-TH"/>
          <w14:ligatures w14:val="none"/>
        </w:rPr>
      </w:pPr>
      <w:r w:rsidRPr="00E730B8">
        <w:rPr>
          <w:b/>
          <w:bCs/>
          <w:color w:val="2E74B5" w:themeColor="accent5" w:themeShade="BF"/>
          <w:sz w:val="24"/>
          <w:szCs w:val="24"/>
          <w:lang w:bidi="th-TH"/>
          <w14:ligatures w14:val="none"/>
        </w:rPr>
        <w:t>Расчеты между организациями и ИП: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12C1D658" w14:textId="1427075A" w:rsidR="007D1F77" w:rsidRPr="00E730B8" w:rsidRDefault="007D1F77" w:rsidP="00E25229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rFonts w:ascii="Times New Roman" w:hAnsi="Times New Roman" w:cs="Times New Roman"/>
          <w:color w:val="2E74B5" w:themeColor="accent5" w:themeShade="BF"/>
          <w:sz w:val="30"/>
          <w:szCs w:val="30"/>
          <w:shd w:val="clear" w:color="auto" w:fill="FFFFFF"/>
        </w:rPr>
        <w:t>Ст.2 ч.9 Федерального закона 54-ФЗ. Контрольно-кассовая техника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</w:r>
    </w:p>
    <w:p w14:paraId="3851CF2D" w14:textId="1CC08D90" w:rsidR="007D1F77" w:rsidRPr="00E730B8" w:rsidRDefault="007D1F77" w:rsidP="007D1F77">
      <w:pPr>
        <w:shd w:val="clear" w:color="auto" w:fill="FFFFFF"/>
        <w:spacing w:after="120" w:line="360" w:lineRule="atLeast"/>
        <w:ind w:left="720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shd w:val="clear" w:color="auto" w:fill="FFFFFF"/>
        </w:rPr>
        <w:t>«С использованием электронного средства платежа с его предъявлением» — это оплата товаров или услуг банковской картой при её физическом предъявлении, например, через POS-терминал в магазине. В отличие от расчетов без предъявления карты (например, онлайн-оплата), здесь физический носитель (карта) должен быть непосредственно использован в терминале.</w:t>
      </w:r>
      <w:r w:rsidRPr="00E730B8">
        <w:rPr>
          <w:rStyle w:val="uv3um"/>
          <w:color w:val="2E74B5" w:themeColor="accent5" w:themeShade="BF"/>
          <w:sz w:val="24"/>
          <w:szCs w:val="24"/>
          <w:shd w:val="clear" w:color="auto" w:fill="FFFFFF"/>
        </w:rPr>
        <w:t> </w:t>
      </w:r>
    </w:p>
    <w:p w14:paraId="662C0324" w14:textId="3A98CB73" w:rsidR="00E25229" w:rsidRPr="00E730B8" w:rsidRDefault="00E25229" w:rsidP="00E25229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b/>
          <w:bCs/>
          <w:color w:val="2E74B5" w:themeColor="accent5" w:themeShade="BF"/>
          <w:sz w:val="24"/>
          <w:szCs w:val="24"/>
          <w:lang w:bidi="th-TH"/>
          <w14:ligatures w14:val="none"/>
        </w:rPr>
        <w:t>ИП на патенте: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41816880" w14:textId="77777777" w:rsidR="00E25229" w:rsidRPr="00E730B8" w:rsidRDefault="00E25229" w:rsidP="00E25229">
      <w:pPr>
        <w:shd w:val="clear" w:color="auto" w:fill="FFFFFF"/>
        <w:spacing w:after="120" w:line="360" w:lineRule="atLeast"/>
        <w:ind w:left="720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>ИП, работающие на патенте и оказывающие некоторые виды услуг (например, ремонт одежды, обуви, чистка), освобождаются от применения ККТ.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1C92C9F9" w14:textId="77777777" w:rsidR="00E25229" w:rsidRPr="00E730B8" w:rsidRDefault="00E25229" w:rsidP="00E25229">
      <w:pPr>
        <w:numPr>
          <w:ilvl w:val="0"/>
          <w:numId w:val="5"/>
        </w:numPr>
        <w:shd w:val="clear" w:color="auto" w:fill="FFFFFF"/>
        <w:spacing w:after="120" w:line="360" w:lineRule="atLeast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proofErr w:type="spellStart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Самозанятые</w:t>
      </w:r>
      <w:proofErr w:type="spellEnd"/>
      <w:r w:rsidRPr="00E730B8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465B1645" w14:textId="77777777" w:rsidR="00E25229" w:rsidRPr="00E730B8" w:rsidRDefault="00E25229" w:rsidP="00E25229">
      <w:pPr>
        <w:shd w:val="clear" w:color="auto" w:fill="FFFFFF"/>
        <w:spacing w:after="120" w:line="360" w:lineRule="atLeast"/>
        <w:ind w:left="720"/>
        <w:rPr>
          <w:color w:val="2E74B5" w:themeColor="accent5" w:themeShade="BF"/>
          <w:sz w:val="24"/>
          <w:szCs w:val="24"/>
          <w:lang w:bidi="th-TH"/>
          <w14:ligatures w14:val="none"/>
        </w:rPr>
      </w:pPr>
      <w:r w:rsidRPr="00E730B8">
        <w:rPr>
          <w:color w:val="2E74B5" w:themeColor="accent5" w:themeShade="BF"/>
          <w:sz w:val="24"/>
          <w:szCs w:val="24"/>
          <w:lang w:bidi="th-TH"/>
          <w14:ligatures w14:val="none"/>
        </w:rPr>
        <w:t>Если продавец является плательщиком налога на профессиональный доход (самозанятым), он не использует онлайн-кассу, а формирует чеки в приложении «Мой налог».</w:t>
      </w:r>
      <w:r w:rsidRPr="00E730B8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23F9F2BC" w14:textId="72BF439C" w:rsidR="00E25229" w:rsidRPr="00E730B8" w:rsidRDefault="00E25229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</w:p>
    <w:p w14:paraId="597B386D" w14:textId="77777777" w:rsidR="00E25229" w:rsidRPr="00E730B8" w:rsidRDefault="0020162C" w:rsidP="00E25229">
      <w:pPr>
        <w:shd w:val="clear" w:color="auto" w:fill="FFFFFF"/>
        <w:spacing w:line="345" w:lineRule="atLeast"/>
        <w:rPr>
          <w:rFonts w:ascii="PT Sans" w:hAnsi="PT Sans"/>
          <w:b/>
          <w:bCs/>
          <w:color w:val="2E74B5" w:themeColor="accent5" w:themeShade="BF"/>
          <w:sz w:val="27"/>
          <w:szCs w:val="27"/>
        </w:rPr>
      </w:pPr>
      <w:hyperlink r:id="rId13" w:history="1">
        <w:r w:rsidR="00E25229" w:rsidRPr="00E730B8">
          <w:rPr>
            <w:rStyle w:val="Hyperlink"/>
            <w:rFonts w:ascii="PT Sans" w:hAnsi="PT Sans"/>
            <w:b/>
            <w:bCs/>
            <w:color w:val="2E74B5" w:themeColor="accent5" w:themeShade="BF"/>
            <w:sz w:val="27"/>
            <w:szCs w:val="27"/>
          </w:rPr>
          <w:t>Федеральный закон от 22.05.2003 N 54-ФЗ (ред. от 24.06.2025) "О применении контрольно-кассовой техники при осуществлении расчетов в Российской Федерации" (с изм. и доп., вступ. в силу с 02.09.2025)</w:t>
        </w:r>
      </w:hyperlink>
    </w:p>
    <w:p w14:paraId="6730972B" w14:textId="77777777" w:rsidR="00E25229" w:rsidRPr="00E730B8" w:rsidRDefault="00E25229" w:rsidP="00E25229">
      <w:pPr>
        <w:pStyle w:val="Heading1"/>
        <w:shd w:val="clear" w:color="auto" w:fill="FDFDFD"/>
        <w:spacing w:beforeAutospacing="0" w:afterAutospacing="0" w:line="450" w:lineRule="atLeast"/>
        <w:rPr>
          <w:rFonts w:ascii="PT Sans" w:hAnsi="PT Sans"/>
          <w:b/>
          <w:bCs/>
          <w:color w:val="2E74B5" w:themeColor="accent5" w:themeShade="BF"/>
          <w:sz w:val="21"/>
          <w:szCs w:val="21"/>
        </w:rPr>
      </w:pPr>
      <w:r w:rsidRPr="00E730B8">
        <w:rPr>
          <w:rFonts w:ascii="PT Sans" w:hAnsi="PT Sans"/>
          <w:b/>
          <w:bCs/>
          <w:color w:val="2E74B5" w:themeColor="accent5" w:themeShade="BF"/>
          <w:sz w:val="21"/>
          <w:szCs w:val="21"/>
        </w:rPr>
        <w:t>В каких случаях можно не применять ККТ</w:t>
      </w:r>
    </w:p>
    <w:p w14:paraId="4E244A33" w14:textId="77777777" w:rsidR="00E25229" w:rsidRPr="00E730B8" w:rsidRDefault="00E25229" w:rsidP="00E25229">
      <w:pPr>
        <w:pStyle w:val="Heading1"/>
        <w:shd w:val="clear" w:color="auto" w:fill="FFFFFF"/>
        <w:spacing w:beforeAutospacing="0" w:afterAutospacing="0" w:line="450" w:lineRule="atLeast"/>
        <w:rPr>
          <w:b/>
          <w:bCs/>
          <w:color w:val="2E74B5" w:themeColor="accent5" w:themeShade="BF"/>
          <w:sz w:val="30"/>
          <w:szCs w:val="30"/>
        </w:rPr>
      </w:pPr>
      <w:r w:rsidRPr="00E730B8">
        <w:rPr>
          <w:color w:val="2E74B5" w:themeColor="accent5" w:themeShade="BF"/>
          <w:sz w:val="30"/>
          <w:szCs w:val="30"/>
        </w:rPr>
        <w:t>Статья 1.2. Сфера и правила применения контрольно-кассовой техники</w:t>
      </w:r>
    </w:p>
    <w:p w14:paraId="7B619C9F" w14:textId="0F89BCD0" w:rsidR="00E25229" w:rsidRPr="00E730B8" w:rsidRDefault="00E25229" w:rsidP="00B874B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2E74B5" w:themeColor="accent5" w:themeShade="BF"/>
          <w:lang w:val="ru-RU"/>
        </w:rPr>
      </w:pPr>
    </w:p>
    <w:p w14:paraId="6AC27A0B" w14:textId="77777777" w:rsidR="00E25229" w:rsidRPr="00E730B8" w:rsidRDefault="00E25229" w:rsidP="00E25229">
      <w:pPr>
        <w:shd w:val="clear" w:color="auto" w:fill="FFFFFF"/>
        <w:spacing w:line="360" w:lineRule="atLeast"/>
        <w:rPr>
          <w:rFonts w:ascii="Times New Roman" w:hAnsi="Times New Roman" w:cs="Times New Roman"/>
          <w:color w:val="2E74B5" w:themeColor="accent5" w:themeShade="BF"/>
          <w:sz w:val="30"/>
          <w:szCs w:val="30"/>
        </w:rPr>
      </w:pPr>
      <w:r w:rsidRPr="00E730B8">
        <w:rPr>
          <w:rFonts w:ascii="Times New Roman" w:hAnsi="Times New Roman" w:cs="Times New Roman"/>
          <w:color w:val="2E74B5" w:themeColor="accent5" w:themeShade="BF"/>
          <w:sz w:val="30"/>
          <w:szCs w:val="30"/>
        </w:rPr>
        <w:t>1. Контрольно-кассовая техника, включенная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Федеральным </w:t>
      </w:r>
      <w:hyperlink r:id="rId14" w:history="1">
        <w:r w:rsidRPr="00E730B8">
          <w:rPr>
            <w:rStyle w:val="Hyperlink"/>
            <w:rFonts w:ascii="Times New Roman" w:hAnsi="Times New Roman" w:cs="Times New Roman"/>
            <w:color w:val="2E74B5" w:themeColor="accent5" w:themeShade="BF"/>
            <w:sz w:val="30"/>
            <w:szCs w:val="30"/>
          </w:rPr>
          <w:t>законом</w:t>
        </w:r>
      </w:hyperlink>
      <w:r w:rsidRPr="00E730B8">
        <w:rPr>
          <w:rFonts w:ascii="Times New Roman" w:hAnsi="Times New Roman" w:cs="Times New Roman"/>
          <w:color w:val="2E74B5" w:themeColor="accent5" w:themeShade="BF"/>
          <w:sz w:val="30"/>
          <w:szCs w:val="30"/>
        </w:rPr>
        <w:t>.</w:t>
      </w:r>
    </w:p>
    <w:p w14:paraId="2E91B315" w14:textId="66A080D0" w:rsidR="00E25229" w:rsidRPr="00E730B8" w:rsidRDefault="00E25229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</w:p>
    <w:p w14:paraId="367A8793" w14:textId="546E7EA0" w:rsidR="00B874B5" w:rsidRPr="00E730B8" w:rsidRDefault="00B874B5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  <w:r w:rsidRPr="00E730B8">
        <w:rPr>
          <w:color w:val="2E74B5" w:themeColor="accent5" w:themeShade="BF"/>
        </w:rPr>
        <w:br/>
      </w:r>
      <w:r w:rsidRPr="00E730B8">
        <w:rPr>
          <w:b/>
          <w:bCs/>
          <w:color w:val="2E74B5" w:themeColor="accent5" w:themeShade="BF"/>
          <w:sz w:val="30"/>
          <w:szCs w:val="30"/>
          <w:shd w:val="clear" w:color="auto" w:fill="FFFFFF"/>
        </w:rPr>
        <w:t>Статья 1.1. Основные понятия, используемые в настоящем Федеральном законе</w:t>
      </w:r>
    </w:p>
    <w:p w14:paraId="7986B29D" w14:textId="3BE8A220" w:rsidR="00E25229" w:rsidRPr="00E730B8" w:rsidRDefault="00B874B5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  <w:r w:rsidRPr="00E730B8">
        <w:rPr>
          <w:rFonts w:ascii="Times New Roman" w:hAnsi="Times New Roman" w:cs="Times New Roman"/>
          <w:color w:val="2E74B5" w:themeColor="accent5" w:themeShade="BF"/>
          <w:sz w:val="30"/>
          <w:szCs w:val="30"/>
          <w:shd w:val="clear" w:color="auto" w:fill="FFFFFF"/>
        </w:rPr>
        <w:t>расчеты - прием (получение) и выплата денежных средств наличными деньгами и (или) в безналичном порядке за товары, работы, услуги, прием ставок, интерактивных ставок и выплата денежных средств в виде выигрыша при осуществлении деятельности по организации и проведению азартных игр, выдача (получение) обменных знаков игорного заведения и выдача (получение) денежных средств в обмен на предъявленные обменные знаки игорного заведения, а также прием денежных средств при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организации и проведению лотерей. В целях настоящего Федерального закона под расчетами понимаются также прием (получение) банковскими платежными агентами (субагентами), осуществляющими свою деятельность в соответствии с Федеральным </w:t>
      </w:r>
      <w:hyperlink r:id="rId15" w:history="1">
        <w:r w:rsidRPr="00E730B8">
          <w:rPr>
            <w:rStyle w:val="Hyperlink"/>
            <w:rFonts w:ascii="Times New Roman" w:hAnsi="Times New Roman" w:cs="Times New Roman"/>
            <w:color w:val="2E74B5" w:themeColor="accent5" w:themeShade="BF"/>
            <w:sz w:val="30"/>
            <w:szCs w:val="30"/>
            <w:shd w:val="clear" w:color="auto" w:fill="FFFFFF"/>
          </w:rPr>
          <w:t>законом</w:t>
        </w:r>
      </w:hyperlink>
      <w:r w:rsidRPr="00E730B8">
        <w:rPr>
          <w:rFonts w:ascii="Times New Roman" w:hAnsi="Times New Roman" w:cs="Times New Roman"/>
          <w:color w:val="2E74B5" w:themeColor="accent5" w:themeShade="BF"/>
          <w:sz w:val="30"/>
          <w:szCs w:val="30"/>
          <w:shd w:val="clear" w:color="auto" w:fill="FFFFFF"/>
        </w:rPr>
        <w:t> от 27 июня 2011 года N 161-ФЗ "О национальной платежной системе", от юридического лица, индивидуального предпринимателя, физического лица, не являющегося индивидуальным предпринимателем, наличных денежных средств, в том числе для зачисления сумм принятых наличных денежных средств на банковские счета таких лиц, прием (получение) и выплата денежных средств в виде предварительной оплаты и (или) авансов, зачет и возврат предварительной оплаты и (или) авансов, предоставление и погашение займов для оплаты товаров, работ, услуг (включая осуществление ломбардами кредитования граждан под залог принадлежащих гражданам вещей и деятельности по хранению вещей) либо предоставление или получение иного встречного предоставления за товары, работы, услуги;</w:t>
      </w:r>
    </w:p>
    <w:p w14:paraId="19AE1213" w14:textId="77777777" w:rsidR="007D1F77" w:rsidRPr="00E730B8" w:rsidRDefault="007D1F77" w:rsidP="00A350CE">
      <w:pPr>
        <w:ind w:firstLine="708"/>
        <w:jc w:val="both"/>
        <w:rPr>
          <w:rFonts w:ascii="Times New Roman" w:hAnsi="Times New Roman" w:cs="Times New Roman"/>
          <w:b/>
          <w:color w:val="2E74B5" w:themeColor="accent5" w:themeShade="BF"/>
          <w:sz w:val="36"/>
        </w:rPr>
      </w:pPr>
    </w:p>
    <w:p w14:paraId="5D22AF02" w14:textId="77777777" w:rsidR="007D1F77" w:rsidRDefault="007D1F77" w:rsidP="00A350CE">
      <w:pPr>
        <w:ind w:firstLine="708"/>
        <w:jc w:val="both"/>
        <w:rPr>
          <w:rFonts w:ascii="Times New Roman" w:hAnsi="Times New Roman" w:cs="Times New Roman"/>
          <w:b/>
          <w:sz w:val="36"/>
        </w:rPr>
      </w:pPr>
    </w:p>
    <w:p w14:paraId="361E7DFC" w14:textId="45F82EA8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12. Марианна Сергеевна К.</w:t>
      </w:r>
    </w:p>
    <w:p w14:paraId="4AD40AE2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НЕВЕРОВ</w:t>
      </w:r>
    </w:p>
    <w:p w14:paraId="43B24DE1" w14:textId="77777777" w:rsidR="006531B6" w:rsidRPr="007A3B62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Может ли общественная организация иметь основной ОКВЭД  отличный от 94.99, осуществляя деятельность в соответствии с целями и задачами, определенными Уставом. </w:t>
      </w:r>
    </w:p>
    <w:p w14:paraId="2A62790C" w14:textId="16A0C09D" w:rsidR="006531B6" w:rsidRDefault="006531B6" w:rsidP="00A350CE">
      <w:pPr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 может ли дополнительный ОКВЭД стать основным?</w:t>
      </w:r>
    </w:p>
    <w:p w14:paraId="3009F531" w14:textId="09102E73" w:rsidR="007D1F77" w:rsidRDefault="007D1F77" w:rsidP="00A350CE">
      <w:pPr>
        <w:ind w:firstLine="708"/>
        <w:jc w:val="both"/>
        <w:rPr>
          <w:rFonts w:ascii="Times New Roman" w:hAnsi="Times New Roman" w:cs="Times New Roman"/>
          <w:sz w:val="36"/>
        </w:rPr>
      </w:pPr>
    </w:p>
    <w:p w14:paraId="6B9E48F6" w14:textId="61175A96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  <w:r w:rsidRPr="00E8745B">
        <w:rPr>
          <w:noProof/>
          <w:color w:val="001D35"/>
          <w:sz w:val="24"/>
          <w:szCs w:val="24"/>
          <w:lang w:bidi="th-TH"/>
          <w14:ligatures w14:val="none"/>
        </w:rPr>
        <w:drawing>
          <wp:inline distT="0" distB="0" distL="0" distR="0" wp14:anchorId="57FB26C6" wp14:editId="16FCF3DF">
            <wp:extent cx="5940425" cy="5103495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65A6" w14:textId="77777777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</w:p>
    <w:p w14:paraId="244EB490" w14:textId="0254CB17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  <w:r w:rsidRPr="00E8745B">
        <w:rPr>
          <w:noProof/>
          <w:color w:val="001D35"/>
          <w:sz w:val="24"/>
          <w:szCs w:val="24"/>
          <w:lang w:bidi="th-TH"/>
          <w14:ligatures w14:val="none"/>
        </w:rPr>
        <w:lastRenderedPageBreak/>
        <w:drawing>
          <wp:inline distT="0" distB="0" distL="0" distR="0" wp14:anchorId="09FFE356" wp14:editId="45D54581">
            <wp:extent cx="3875193" cy="365148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4241" cy="366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3D5A" w14:textId="77777777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</w:p>
    <w:p w14:paraId="2025411B" w14:textId="77777777" w:rsidR="00E8745B" w:rsidRDefault="00E8745B" w:rsidP="00E8745B">
      <w:pPr>
        <w:pStyle w:val="Heading1"/>
        <w:shd w:val="clear" w:color="auto" w:fill="FFFFFF"/>
        <w:spacing w:beforeAutospacing="0"/>
        <w:rPr>
          <w:rFonts w:ascii="Montserrat" w:hAnsi="Montserrat"/>
          <w:color w:val="00589B"/>
          <w:sz w:val="30"/>
          <w:szCs w:val="30"/>
        </w:rPr>
      </w:pPr>
      <w:r>
        <w:rPr>
          <w:rFonts w:ascii="Montserrat" w:hAnsi="Montserrat"/>
          <w:color w:val="00589B"/>
          <w:sz w:val="30"/>
          <w:szCs w:val="30"/>
        </w:rPr>
        <w:t>Приказ Росстандарта от 20.12.2022 N 1533-ст "Об утверждении Изменения 52/2022 ОКВЭД 2 к Общероссийскому классификатору видов экономической деятельности (ОКВЭД 2) и Изменения 75/2022 ОКПД 2 к Общероссийскому классификатору продукции по видам экономической деятельности"</w:t>
      </w:r>
    </w:p>
    <w:p w14:paraId="396EF091" w14:textId="77777777" w:rsidR="00E8745B" w:rsidRPr="00E8745B" w:rsidRDefault="00E8745B" w:rsidP="00E8745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  <w:lang w:val="ru-RU"/>
        </w:rPr>
      </w:pPr>
      <w:bookmarkStart w:id="4" w:name="100001"/>
      <w:bookmarkStart w:id="5" w:name="100005"/>
      <w:bookmarkEnd w:id="4"/>
      <w:bookmarkEnd w:id="5"/>
      <w:r w:rsidRPr="00E8745B">
        <w:rPr>
          <w:rFonts w:ascii="Arial" w:hAnsi="Arial" w:cs="Arial"/>
          <w:color w:val="212529"/>
          <w:sz w:val="24"/>
          <w:szCs w:val="24"/>
          <w:lang w:val="ru-RU"/>
        </w:rPr>
        <w:t>В целях реализации</w:t>
      </w:r>
      <w:r>
        <w:rPr>
          <w:rFonts w:ascii="Arial" w:hAnsi="Arial" w:cs="Arial"/>
          <w:color w:val="212529"/>
          <w:sz w:val="24"/>
          <w:szCs w:val="24"/>
        </w:rPr>
        <w:t> </w:t>
      </w:r>
      <w:hyperlink r:id="rId18" w:anchor="100018" w:history="1">
        <w:r w:rsidRPr="00E8745B">
          <w:rPr>
            <w:rStyle w:val="Hyperlink"/>
            <w:rFonts w:ascii="Arial" w:hAnsi="Arial" w:cs="Arial"/>
            <w:color w:val="4272D7"/>
            <w:sz w:val="24"/>
            <w:szCs w:val="24"/>
            <w:lang w:val="ru-RU"/>
          </w:rPr>
          <w:t>Правил</w:t>
        </w:r>
      </w:hyperlink>
      <w:r>
        <w:rPr>
          <w:rFonts w:ascii="Arial" w:hAnsi="Arial" w:cs="Arial"/>
          <w:color w:val="212529"/>
          <w:sz w:val="24"/>
          <w:szCs w:val="24"/>
        </w:rPr>
        <w:t> </w:t>
      </w:r>
      <w:r w:rsidRPr="00E8745B">
        <w:rPr>
          <w:rFonts w:ascii="Arial" w:hAnsi="Arial" w:cs="Arial"/>
          <w:color w:val="212529"/>
          <w:sz w:val="24"/>
          <w:szCs w:val="24"/>
          <w:lang w:val="ru-RU"/>
        </w:rPr>
        <w:t xml:space="preserve">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7 июня 2019 г. </w:t>
      </w:r>
      <w:r>
        <w:rPr>
          <w:rFonts w:ascii="Arial" w:hAnsi="Arial" w:cs="Arial"/>
          <w:color w:val="212529"/>
          <w:sz w:val="24"/>
          <w:szCs w:val="24"/>
        </w:rPr>
        <w:t>N</w:t>
      </w:r>
      <w:r w:rsidRPr="00E8745B">
        <w:rPr>
          <w:rFonts w:ascii="Arial" w:hAnsi="Arial" w:cs="Arial"/>
          <w:color w:val="212529"/>
          <w:sz w:val="24"/>
          <w:szCs w:val="24"/>
          <w:lang w:val="ru-RU"/>
        </w:rPr>
        <w:t xml:space="preserve"> 733 "Об общероссийских классификаторах технико-экономической и социальной информации", приказываю:</w:t>
      </w:r>
    </w:p>
    <w:p w14:paraId="700FAEB5" w14:textId="77777777" w:rsidR="00E8745B" w:rsidRPr="00E8745B" w:rsidRDefault="00E8745B" w:rsidP="00E8745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  <w:lang w:val="ru-RU"/>
        </w:rPr>
      </w:pPr>
      <w:bookmarkStart w:id="6" w:name="100006"/>
      <w:bookmarkEnd w:id="6"/>
      <w:r w:rsidRPr="00E8745B">
        <w:rPr>
          <w:rFonts w:ascii="Arial" w:hAnsi="Arial" w:cs="Arial"/>
          <w:color w:val="212529"/>
          <w:sz w:val="24"/>
          <w:szCs w:val="24"/>
          <w:lang w:val="ru-RU"/>
        </w:rPr>
        <w:t>1. Утвердить</w:t>
      </w:r>
      <w:r>
        <w:rPr>
          <w:rFonts w:ascii="Arial" w:hAnsi="Arial" w:cs="Arial"/>
          <w:color w:val="212529"/>
          <w:sz w:val="24"/>
          <w:szCs w:val="24"/>
        </w:rPr>
        <w:t> </w:t>
      </w:r>
      <w:hyperlink r:id="rId19" w:history="1">
        <w:r w:rsidRPr="00E8745B">
          <w:rPr>
            <w:rStyle w:val="Hyperlink"/>
            <w:rFonts w:ascii="Arial" w:hAnsi="Arial" w:cs="Arial"/>
            <w:color w:val="4272D7"/>
            <w:sz w:val="24"/>
            <w:szCs w:val="24"/>
            <w:lang w:val="ru-RU"/>
          </w:rPr>
          <w:t>Изменение</w:t>
        </w:r>
      </w:hyperlink>
      <w:r>
        <w:rPr>
          <w:rFonts w:ascii="Arial" w:hAnsi="Arial" w:cs="Arial"/>
          <w:color w:val="212529"/>
          <w:sz w:val="24"/>
          <w:szCs w:val="24"/>
        </w:rPr>
        <w:t> </w:t>
      </w:r>
      <w:r w:rsidRPr="00E8745B">
        <w:rPr>
          <w:rFonts w:ascii="Arial" w:hAnsi="Arial" w:cs="Arial"/>
          <w:color w:val="212529"/>
          <w:sz w:val="24"/>
          <w:szCs w:val="24"/>
          <w:lang w:val="ru-RU"/>
        </w:rPr>
        <w:t>52/2022 ОКВЭД 2 к Общероссийскому классификатору видов экономической деятельности (ОКВЭД 2) ОК 029-2014 (КДЕС Ред. 2) с датой введения в действие 1 марта 2023 г.</w:t>
      </w:r>
    </w:p>
    <w:p w14:paraId="24AE5343" w14:textId="77777777" w:rsidR="00E8745B" w:rsidRPr="00E8745B" w:rsidRDefault="00E8745B" w:rsidP="00E8745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  <w:lang w:val="ru-RU"/>
        </w:rPr>
      </w:pPr>
      <w:bookmarkStart w:id="7" w:name="100007"/>
      <w:bookmarkEnd w:id="7"/>
      <w:r w:rsidRPr="00E8745B">
        <w:rPr>
          <w:rFonts w:ascii="Arial" w:hAnsi="Arial" w:cs="Arial"/>
          <w:color w:val="212529"/>
          <w:sz w:val="24"/>
          <w:szCs w:val="24"/>
          <w:lang w:val="ru-RU"/>
        </w:rPr>
        <w:t>2. Утвердить</w:t>
      </w:r>
      <w:r>
        <w:rPr>
          <w:rFonts w:ascii="Arial" w:hAnsi="Arial" w:cs="Arial"/>
          <w:color w:val="212529"/>
          <w:sz w:val="24"/>
          <w:szCs w:val="24"/>
        </w:rPr>
        <w:t> </w:t>
      </w:r>
      <w:hyperlink r:id="rId20" w:history="1">
        <w:r w:rsidRPr="00E8745B">
          <w:rPr>
            <w:rStyle w:val="Hyperlink"/>
            <w:rFonts w:ascii="Arial" w:hAnsi="Arial" w:cs="Arial"/>
            <w:color w:val="4272D7"/>
            <w:sz w:val="24"/>
            <w:szCs w:val="24"/>
            <w:lang w:val="ru-RU"/>
          </w:rPr>
          <w:t>Изменение</w:t>
        </w:r>
      </w:hyperlink>
      <w:r>
        <w:rPr>
          <w:rFonts w:ascii="Arial" w:hAnsi="Arial" w:cs="Arial"/>
          <w:color w:val="212529"/>
          <w:sz w:val="24"/>
          <w:szCs w:val="24"/>
        </w:rPr>
        <w:t> </w:t>
      </w:r>
      <w:r w:rsidRPr="00E8745B">
        <w:rPr>
          <w:rFonts w:ascii="Arial" w:hAnsi="Arial" w:cs="Arial"/>
          <w:color w:val="212529"/>
          <w:sz w:val="24"/>
          <w:szCs w:val="24"/>
          <w:lang w:val="ru-RU"/>
        </w:rPr>
        <w:t>75/2022 ОКПД 2 к Общероссийскому классификатору продукции по видам экономической деятельности (ОКПД 2) ОК 034-2014 (КПЕС 2008) с датой введения в действие 1 марта 2023 г.</w:t>
      </w:r>
    </w:p>
    <w:p w14:paraId="4EBCEE68" w14:textId="77777777" w:rsidR="00E8745B" w:rsidRPr="00E8745B" w:rsidRDefault="00E8745B" w:rsidP="00E8745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  <w:lang w:val="ru-RU"/>
        </w:rPr>
      </w:pPr>
      <w:bookmarkStart w:id="8" w:name="100008"/>
      <w:bookmarkEnd w:id="8"/>
      <w:r w:rsidRPr="00E8745B">
        <w:rPr>
          <w:rFonts w:ascii="Arial" w:hAnsi="Arial" w:cs="Arial"/>
          <w:color w:val="212529"/>
          <w:sz w:val="24"/>
          <w:szCs w:val="24"/>
          <w:lang w:val="ru-RU"/>
        </w:rPr>
        <w:t>3. Настоящий приказ вступает в силу 1 марта 2023 г.</w:t>
      </w:r>
    </w:p>
    <w:p w14:paraId="4112E70B" w14:textId="77777777" w:rsidR="00E8745B" w:rsidRDefault="00E8745B" w:rsidP="00E8745B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  <w:sz w:val="24"/>
          <w:szCs w:val="24"/>
        </w:rPr>
      </w:pPr>
      <w:bookmarkStart w:id="9" w:name="100009"/>
      <w:bookmarkEnd w:id="9"/>
      <w:proofErr w:type="spellStart"/>
      <w:r>
        <w:rPr>
          <w:rFonts w:ascii="Arial" w:hAnsi="Arial" w:cs="Arial"/>
          <w:color w:val="212529"/>
          <w:sz w:val="24"/>
          <w:szCs w:val="24"/>
        </w:rPr>
        <w:t>Руководитель</w:t>
      </w:r>
      <w:proofErr w:type="spellEnd"/>
    </w:p>
    <w:p w14:paraId="0D3673FB" w14:textId="77777777" w:rsidR="00E8745B" w:rsidRDefault="00E8745B" w:rsidP="00E8745B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А.П.ШАЛАЕВ</w:t>
      </w:r>
    </w:p>
    <w:p w14:paraId="0E0C1D39" w14:textId="77777777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</w:p>
    <w:p w14:paraId="35EAFC3D" w14:textId="51F65648" w:rsidR="00E8745B" w:rsidRDefault="00E8745B" w:rsidP="007D1F77">
      <w:pPr>
        <w:shd w:val="clear" w:color="auto" w:fill="FFFFFF"/>
        <w:spacing w:line="360" w:lineRule="atLeast"/>
        <w:rPr>
          <w:color w:val="001D35"/>
          <w:sz w:val="24"/>
          <w:szCs w:val="24"/>
          <w:lang w:bidi="th-TH"/>
          <w14:ligatures w14:val="none"/>
        </w:rPr>
      </w:pPr>
      <w:r w:rsidRPr="00E8745B">
        <w:rPr>
          <w:noProof/>
          <w:color w:val="001D35"/>
          <w:sz w:val="24"/>
          <w:szCs w:val="24"/>
          <w:lang w:bidi="th-TH"/>
          <w14:ligatures w14:val="none"/>
        </w:rPr>
        <w:drawing>
          <wp:inline distT="0" distB="0" distL="0" distR="0" wp14:anchorId="7258ECC8" wp14:editId="6251B9DA">
            <wp:extent cx="5369875" cy="636693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76106" cy="63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967E" w14:textId="242DB099" w:rsidR="007D1F77" w:rsidRDefault="00E8745B" w:rsidP="00A350CE">
      <w:pPr>
        <w:ind w:firstLine="708"/>
        <w:jc w:val="both"/>
        <w:rPr>
          <w:rFonts w:ascii="Times New Roman" w:hAnsi="Times New Roman" w:cs="Times New Roman"/>
          <w:sz w:val="36"/>
          <w:lang w:val="en-US"/>
        </w:rPr>
      </w:pPr>
      <w:r w:rsidRPr="00E8745B">
        <w:rPr>
          <w:rFonts w:ascii="Times New Roman" w:hAnsi="Times New Roman" w:cs="Times New Roman"/>
          <w:noProof/>
          <w:sz w:val="36"/>
          <w:lang w:val="en-US"/>
        </w:rPr>
        <w:lastRenderedPageBreak/>
        <w:drawing>
          <wp:inline distT="0" distB="0" distL="0" distR="0" wp14:anchorId="07DC9914" wp14:editId="205DC981">
            <wp:extent cx="5940425" cy="5121275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4983" w14:textId="77494CDA" w:rsidR="00E8745B" w:rsidRDefault="0020162C" w:rsidP="00A350CE">
      <w:pPr>
        <w:ind w:firstLine="708"/>
        <w:jc w:val="both"/>
        <w:rPr>
          <w:rFonts w:ascii="Times New Roman" w:hAnsi="Times New Roman" w:cs="Times New Roman"/>
          <w:sz w:val="36"/>
          <w:lang w:val="en-US"/>
        </w:rPr>
      </w:pPr>
      <w:hyperlink r:id="rId23" w:history="1">
        <w:r w:rsidR="00E8745B" w:rsidRPr="00A4253F">
          <w:rPr>
            <w:rStyle w:val="Hyperlink"/>
            <w:rFonts w:ascii="Times New Roman" w:hAnsi="Times New Roman" w:cs="Times New Roman"/>
            <w:sz w:val="36"/>
            <w:lang w:val="en-US"/>
          </w:rPr>
          <w:t>https://ural-nko.ru/okved_nko</w:t>
        </w:r>
      </w:hyperlink>
    </w:p>
    <w:p w14:paraId="24BCA225" w14:textId="77777777" w:rsidR="00E8745B" w:rsidRDefault="00E8745B" w:rsidP="00A350CE">
      <w:pPr>
        <w:ind w:firstLine="708"/>
        <w:jc w:val="both"/>
        <w:rPr>
          <w:rFonts w:ascii="Times New Roman" w:hAnsi="Times New Roman" w:cs="Times New Roman"/>
          <w:sz w:val="36"/>
          <w:lang w:val="en-US"/>
        </w:rPr>
      </w:pPr>
    </w:p>
    <w:p w14:paraId="045D8630" w14:textId="77777777" w:rsidR="007D1F77" w:rsidRPr="0020162C" w:rsidRDefault="007D1F77" w:rsidP="0020162C">
      <w:pPr>
        <w:shd w:val="clear" w:color="auto" w:fill="FFFFFF"/>
        <w:spacing w:line="240" w:lineRule="auto"/>
        <w:jc w:val="both"/>
        <w:rPr>
          <w:color w:val="2E74B5" w:themeColor="accent5" w:themeShade="BF"/>
          <w:sz w:val="24"/>
          <w:szCs w:val="24"/>
          <w:lang w:bidi="th-TH"/>
          <w14:ligatures w14:val="none"/>
        </w:rPr>
      </w:pP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ОКВЭД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влияет на возможность получать льготы, тарифы страховых взносов за сотрудников (особенно на травматизм) и на взаимодействие с банками и налоговой.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Его можно и нужно менять, если деятельность изменилась, чтобы избежать штрафов и блокировки счетов.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Изменение происходит путем подачи заявления в налоговую инспекцию, и это можно сделать в любое время.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12F1A2E0" w14:textId="77777777" w:rsidR="007D1F77" w:rsidRPr="0020162C" w:rsidRDefault="007D1F77" w:rsidP="0020162C">
      <w:pPr>
        <w:shd w:val="clear" w:color="auto" w:fill="FFFFFF"/>
        <w:spacing w:line="420" w:lineRule="atLeast"/>
        <w:jc w:val="both"/>
        <w:rPr>
          <w:rFonts w:ascii="Angsana New" w:hAnsi="Angsana New" w:cs="Angsana New"/>
          <w:color w:val="2E74B5" w:themeColor="accent5" w:themeShade="BF"/>
          <w:sz w:val="30"/>
          <w:szCs w:val="30"/>
          <w:lang w:val="en-US" w:bidi="th-TH"/>
          <w14:ligatures w14:val="none"/>
        </w:rPr>
      </w:pPr>
      <w:r w:rsidRPr="0020162C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На что </w:t>
      </w:r>
      <w:proofErr w:type="spellStart"/>
      <w:r w:rsidRPr="0020162C">
        <w:rPr>
          <w:color w:val="2E74B5" w:themeColor="accent5" w:themeShade="BF"/>
          <w:sz w:val="30"/>
          <w:szCs w:val="30"/>
          <w:lang w:val="en-US" w:bidi="th-TH"/>
          <w14:ligatures w14:val="none"/>
        </w:rPr>
        <w:t>влияет</w:t>
      </w:r>
      <w:proofErr w:type="spellEnd"/>
      <w:r w:rsidRPr="0020162C">
        <w:rPr>
          <w:color w:val="2E74B5" w:themeColor="accent5" w:themeShade="BF"/>
          <w:sz w:val="30"/>
          <w:szCs w:val="30"/>
          <w:lang w:val="en-US" w:bidi="th-TH"/>
          <w14:ligatures w14:val="none"/>
        </w:rPr>
        <w:t xml:space="preserve"> ОКВЭД:</w:t>
      </w:r>
    </w:p>
    <w:p w14:paraId="5B023122" w14:textId="77777777" w:rsidR="007D1F77" w:rsidRPr="0020162C" w:rsidRDefault="007D1F77" w:rsidP="0020162C">
      <w:pPr>
        <w:numPr>
          <w:ilvl w:val="0"/>
          <w:numId w:val="8"/>
        </w:numPr>
        <w:shd w:val="clear" w:color="auto" w:fill="FFFFFF"/>
        <w:spacing w:after="120" w:line="360" w:lineRule="atLeast"/>
        <w:jc w:val="both"/>
        <w:rPr>
          <w:color w:val="2E74B5" w:themeColor="accent5" w:themeShade="BF"/>
          <w:sz w:val="24"/>
          <w:szCs w:val="24"/>
          <w:lang w:val="en-US" w:bidi="th-TH"/>
          <w14:ligatures w14:val="none"/>
        </w:rPr>
      </w:pP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Страховые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взносы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7E23C34F" w14:textId="77777777" w:rsidR="007D1F77" w:rsidRPr="0020162C" w:rsidRDefault="007D1F77" w:rsidP="0020162C">
      <w:pPr>
        <w:shd w:val="clear" w:color="auto" w:fill="FFFFFF"/>
        <w:spacing w:after="120" w:line="360" w:lineRule="atLeast"/>
        <w:ind w:left="720"/>
        <w:jc w:val="both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Основной код ОКВЭД определяет ставку взносов «на травматизм» за сотрудников.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Чем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выше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класс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риска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деятельности,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тем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выше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</w:t>
      </w:r>
      <w:proofErr w:type="spellStart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тариф</w:t>
      </w:r>
      <w:proofErr w:type="spellEnd"/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. </w:t>
      </w:r>
    </w:p>
    <w:p w14:paraId="3D08A55C" w14:textId="77777777" w:rsidR="007D1F77" w:rsidRPr="0020162C" w:rsidRDefault="007D1F77" w:rsidP="0020162C">
      <w:pPr>
        <w:numPr>
          <w:ilvl w:val="0"/>
          <w:numId w:val="8"/>
        </w:numPr>
        <w:shd w:val="clear" w:color="auto" w:fill="FFFFFF"/>
        <w:spacing w:after="120" w:line="360" w:lineRule="atLeast"/>
        <w:jc w:val="both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Льготы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и </w:t>
      </w: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преференции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0FBC9769" w14:textId="77777777" w:rsidR="007D1F77" w:rsidRPr="0020162C" w:rsidRDefault="007D1F77" w:rsidP="0020162C">
      <w:pPr>
        <w:shd w:val="clear" w:color="auto" w:fill="FFFFFF"/>
        <w:spacing w:after="120" w:line="360" w:lineRule="atLeast"/>
        <w:ind w:left="720"/>
        <w:jc w:val="both"/>
        <w:rPr>
          <w:rFonts w:ascii="Angsana New" w:hAnsi="Angsana New" w:cs="Angsana New"/>
          <w:color w:val="2E74B5" w:themeColor="accent5" w:themeShade="BF"/>
          <w:sz w:val="28"/>
          <w:szCs w:val="28"/>
          <w:lang w:bidi="th-TH"/>
          <w14:ligatures w14:val="none"/>
        </w:rPr>
      </w:pP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Некоторые коды дают право на льготные налоговые режимы или пониженные ставки по налогам.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Если основной код не соответствует заявленной деятельности, льготы могут быть аннулированы.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5A6EA16C" w14:textId="77777777" w:rsidR="007D1F77" w:rsidRPr="0020162C" w:rsidRDefault="007D1F77" w:rsidP="0020162C">
      <w:pPr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Angsana New" w:hAnsi="Angsana New" w:cs="Angsana New"/>
          <w:color w:val="2E74B5" w:themeColor="accent5" w:themeShade="BF"/>
          <w:sz w:val="28"/>
          <w:szCs w:val="28"/>
          <w:lang w:val="en-US" w:bidi="th-TH"/>
          <w14:ligatures w14:val="none"/>
        </w:rPr>
      </w:pP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Взаимодействие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 xml:space="preserve"> с </w:t>
      </w:r>
      <w:proofErr w:type="spellStart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налоговой</w:t>
      </w:r>
      <w:proofErr w:type="spellEnd"/>
      <w:r w:rsidRPr="0020162C">
        <w:rPr>
          <w:b/>
          <w:bCs/>
          <w:color w:val="2E74B5" w:themeColor="accent5" w:themeShade="BF"/>
          <w:sz w:val="24"/>
          <w:szCs w:val="24"/>
          <w:lang w:val="en-US" w:bidi="th-TH"/>
          <w14:ligatures w14:val="none"/>
        </w:rPr>
        <w:t>: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</w:p>
    <w:p w14:paraId="49D005B0" w14:textId="6C005C5E" w:rsidR="007D1F77" w:rsidRPr="0020162C" w:rsidRDefault="007D1F77" w:rsidP="0020162C">
      <w:pPr>
        <w:shd w:val="clear" w:color="auto" w:fill="FFFFFF"/>
        <w:spacing w:line="360" w:lineRule="atLeast"/>
        <w:ind w:left="720"/>
        <w:jc w:val="both"/>
        <w:rPr>
          <w:rFonts w:ascii="Times New Roman" w:hAnsi="Times New Roman" w:cs="Times New Roman"/>
          <w:color w:val="2E74B5" w:themeColor="accent5" w:themeShade="BF"/>
          <w:sz w:val="36"/>
        </w:rPr>
      </w:pP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lastRenderedPageBreak/>
        <w:t>ФНС использует коды ОКВЭД для анализа деятельности и может наложить штраф за несвоевременное или неточное внесение данных в ЕГР</w:t>
      </w:r>
      <w:r w:rsidR="0020162C"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ЮЛ</w:t>
      </w:r>
      <w:r w:rsidRPr="0020162C">
        <w:rPr>
          <w:color w:val="2E74B5" w:themeColor="accent5" w:themeShade="BF"/>
          <w:sz w:val="24"/>
          <w:szCs w:val="24"/>
          <w:lang w:bidi="th-TH"/>
          <w14:ligatures w14:val="none"/>
        </w:rPr>
        <w:t>.</w:t>
      </w:r>
      <w:r w:rsidRPr="0020162C">
        <w:rPr>
          <w:color w:val="2E74B5" w:themeColor="accent5" w:themeShade="BF"/>
          <w:sz w:val="24"/>
          <w:szCs w:val="24"/>
          <w:lang w:val="en-US" w:bidi="th-TH"/>
          <w14:ligatures w14:val="none"/>
        </w:rPr>
        <w:t> </w:t>
      </w:r>
      <w:r w:rsidR="0020162C" w:rsidRPr="0020162C">
        <w:rPr>
          <w:rFonts w:asciiTheme="minorHAnsi" w:hAnsiTheme="minorHAnsi" w:cs="Angsana New"/>
          <w:color w:val="2E74B5" w:themeColor="accent5" w:themeShade="BF"/>
          <w:sz w:val="28"/>
          <w:szCs w:val="28"/>
          <w:lang w:bidi="th-TH"/>
          <w14:ligatures w14:val="none"/>
        </w:rPr>
        <w:t xml:space="preserve"> </w:t>
      </w:r>
      <w:r w:rsidR="0020162C" w:rsidRPr="0020162C">
        <w:rPr>
          <w:color w:val="2E74B5" w:themeColor="accent5" w:themeShade="BF"/>
          <w:sz w:val="24"/>
          <w:szCs w:val="24"/>
          <w:shd w:val="clear" w:color="auto" w:fill="FFFFFF"/>
        </w:rPr>
        <w:t>За несвоевременное внесение нового кода ОКВЭД налагается административный штраф, размер которого составляет от 5 000 до 10 000 рублей (ч. 3 или 4 ст. 14.25 КоАП РФ). Внесение изменений в реестр необходимо сделать в течение 7 рабочих дней после начала осуществления новой деятельности</w:t>
      </w:r>
    </w:p>
    <w:sectPr w:rsidR="007D1F77" w:rsidRPr="0020162C" w:rsidSect="007A3B62">
      <w:type w:val="continuous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93E"/>
    <w:multiLevelType w:val="hybridMultilevel"/>
    <w:tmpl w:val="8E140828"/>
    <w:lvl w:ilvl="0" w:tplc="26C84424">
      <w:start w:val="1"/>
      <w:numFmt w:val="decimal"/>
      <w:lvlText w:val="%1."/>
      <w:lvlJc w:val="left"/>
      <w:pPr>
        <w:ind w:left="720" w:hanging="360"/>
      </w:pPr>
    </w:lvl>
    <w:lvl w:ilvl="1" w:tplc="70DE55C6">
      <w:start w:val="1"/>
      <w:numFmt w:val="lowerLetter"/>
      <w:lvlText w:val="%2."/>
      <w:lvlJc w:val="left"/>
      <w:pPr>
        <w:ind w:left="1440" w:hanging="360"/>
      </w:pPr>
    </w:lvl>
    <w:lvl w:ilvl="2" w:tplc="E1F408EC">
      <w:start w:val="1"/>
      <w:numFmt w:val="lowerRoman"/>
      <w:lvlText w:val="%3."/>
      <w:lvlJc w:val="right"/>
      <w:pPr>
        <w:ind w:left="2160" w:hanging="180"/>
      </w:pPr>
    </w:lvl>
    <w:lvl w:ilvl="3" w:tplc="859C32AE">
      <w:start w:val="1"/>
      <w:numFmt w:val="decimal"/>
      <w:lvlText w:val="%4."/>
      <w:lvlJc w:val="left"/>
      <w:pPr>
        <w:ind w:left="2880" w:hanging="360"/>
      </w:pPr>
    </w:lvl>
    <w:lvl w:ilvl="4" w:tplc="833E40C6">
      <w:start w:val="1"/>
      <w:numFmt w:val="lowerLetter"/>
      <w:lvlText w:val="%5."/>
      <w:lvlJc w:val="left"/>
      <w:pPr>
        <w:ind w:left="3600" w:hanging="360"/>
      </w:pPr>
    </w:lvl>
    <w:lvl w:ilvl="5" w:tplc="52920D86">
      <w:start w:val="1"/>
      <w:numFmt w:val="lowerRoman"/>
      <w:lvlText w:val="%6."/>
      <w:lvlJc w:val="right"/>
      <w:pPr>
        <w:ind w:left="4320" w:hanging="180"/>
      </w:pPr>
    </w:lvl>
    <w:lvl w:ilvl="6" w:tplc="50EAAD46">
      <w:start w:val="1"/>
      <w:numFmt w:val="decimal"/>
      <w:lvlText w:val="%7."/>
      <w:lvlJc w:val="left"/>
      <w:pPr>
        <w:ind w:left="5040" w:hanging="360"/>
      </w:pPr>
    </w:lvl>
    <w:lvl w:ilvl="7" w:tplc="0CDC9198">
      <w:start w:val="1"/>
      <w:numFmt w:val="lowerLetter"/>
      <w:lvlText w:val="%8."/>
      <w:lvlJc w:val="left"/>
      <w:pPr>
        <w:ind w:left="5760" w:hanging="360"/>
      </w:pPr>
    </w:lvl>
    <w:lvl w:ilvl="8" w:tplc="E35A73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BC5"/>
    <w:multiLevelType w:val="multilevel"/>
    <w:tmpl w:val="5CA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A52BC"/>
    <w:multiLevelType w:val="hybridMultilevel"/>
    <w:tmpl w:val="67965E02"/>
    <w:lvl w:ilvl="0" w:tplc="025CFF86">
      <w:start w:val="1"/>
      <w:numFmt w:val="decimal"/>
      <w:lvlText w:val="%1."/>
      <w:lvlJc w:val="left"/>
      <w:pPr>
        <w:ind w:left="720" w:hanging="360"/>
      </w:pPr>
    </w:lvl>
    <w:lvl w:ilvl="1" w:tplc="748CC15E">
      <w:start w:val="1"/>
      <w:numFmt w:val="lowerLetter"/>
      <w:lvlText w:val="%2."/>
      <w:lvlJc w:val="left"/>
      <w:pPr>
        <w:ind w:left="1440" w:hanging="360"/>
      </w:pPr>
    </w:lvl>
    <w:lvl w:ilvl="2" w:tplc="C3645052">
      <w:start w:val="1"/>
      <w:numFmt w:val="lowerRoman"/>
      <w:lvlText w:val="%3."/>
      <w:lvlJc w:val="right"/>
      <w:pPr>
        <w:ind w:left="2160" w:hanging="180"/>
      </w:pPr>
    </w:lvl>
    <w:lvl w:ilvl="3" w:tplc="AB708268">
      <w:start w:val="1"/>
      <w:numFmt w:val="decimal"/>
      <w:lvlText w:val="%4."/>
      <w:lvlJc w:val="left"/>
      <w:pPr>
        <w:ind w:left="2880" w:hanging="360"/>
      </w:pPr>
    </w:lvl>
    <w:lvl w:ilvl="4" w:tplc="5B684214">
      <w:start w:val="1"/>
      <w:numFmt w:val="lowerLetter"/>
      <w:lvlText w:val="%5."/>
      <w:lvlJc w:val="left"/>
      <w:pPr>
        <w:ind w:left="3600" w:hanging="360"/>
      </w:pPr>
    </w:lvl>
    <w:lvl w:ilvl="5" w:tplc="8B166AC2">
      <w:start w:val="1"/>
      <w:numFmt w:val="lowerRoman"/>
      <w:lvlText w:val="%6."/>
      <w:lvlJc w:val="right"/>
      <w:pPr>
        <w:ind w:left="4320" w:hanging="180"/>
      </w:pPr>
    </w:lvl>
    <w:lvl w:ilvl="6" w:tplc="24C87C10">
      <w:start w:val="1"/>
      <w:numFmt w:val="decimal"/>
      <w:lvlText w:val="%7."/>
      <w:lvlJc w:val="left"/>
      <w:pPr>
        <w:ind w:left="5040" w:hanging="360"/>
      </w:pPr>
    </w:lvl>
    <w:lvl w:ilvl="7" w:tplc="E9A4B838">
      <w:start w:val="1"/>
      <w:numFmt w:val="lowerLetter"/>
      <w:lvlText w:val="%8."/>
      <w:lvlJc w:val="left"/>
      <w:pPr>
        <w:ind w:left="5760" w:hanging="360"/>
      </w:pPr>
    </w:lvl>
    <w:lvl w:ilvl="8" w:tplc="AEA8F6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3CFF"/>
    <w:multiLevelType w:val="multilevel"/>
    <w:tmpl w:val="8A3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83EEE"/>
    <w:multiLevelType w:val="multilevel"/>
    <w:tmpl w:val="BE76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E1D2E"/>
    <w:multiLevelType w:val="multilevel"/>
    <w:tmpl w:val="41B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24F15"/>
    <w:multiLevelType w:val="multilevel"/>
    <w:tmpl w:val="431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40F75"/>
    <w:multiLevelType w:val="multilevel"/>
    <w:tmpl w:val="6AF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20162C"/>
    <w:rsid w:val="003D49D4"/>
    <w:rsid w:val="003E661C"/>
    <w:rsid w:val="00497F3D"/>
    <w:rsid w:val="005635E6"/>
    <w:rsid w:val="006531B6"/>
    <w:rsid w:val="006C115C"/>
    <w:rsid w:val="007A3B62"/>
    <w:rsid w:val="007D1F77"/>
    <w:rsid w:val="00A350CE"/>
    <w:rsid w:val="00AE6F15"/>
    <w:rsid w:val="00B13A6D"/>
    <w:rsid w:val="00B874B5"/>
    <w:rsid w:val="00CB5903"/>
    <w:rsid w:val="00CD23D2"/>
    <w:rsid w:val="00E25229"/>
    <w:rsid w:val="00E730B8"/>
    <w:rsid w:val="00E8745B"/>
    <w:rsid w:val="00EA49AE"/>
    <w:rsid w:val="00F7113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F06D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styleId="Hyperlink">
    <w:name w:val="Hyperlink"/>
    <w:uiPriority w:val="99"/>
    <w:unhideWhenUsed/>
    <w:rPr>
      <w:color w:val="2F69C7"/>
      <w:u w:val="single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NormalWeb">
    <w:name w:val="Normal (Web)"/>
    <w:basedOn w:val="Normal"/>
    <w:uiPriority w:val="99"/>
    <w:unhideWhenUsed/>
    <w:rsid w:val="00497F3D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character" w:styleId="Strong">
    <w:name w:val="Strong"/>
    <w:basedOn w:val="DefaultParagraphFont"/>
    <w:uiPriority w:val="22"/>
    <w:qFormat/>
    <w:rsid w:val="00AE6F15"/>
    <w:rPr>
      <w:b/>
      <w:bCs/>
    </w:rPr>
  </w:style>
  <w:style w:type="character" w:styleId="Emphasis">
    <w:name w:val="Emphasis"/>
    <w:basedOn w:val="DefaultParagraphFont"/>
    <w:uiPriority w:val="20"/>
    <w:qFormat/>
    <w:rsid w:val="00AE6F15"/>
    <w:rPr>
      <w:i/>
      <w:iCs/>
    </w:rPr>
  </w:style>
  <w:style w:type="character" w:customStyle="1" w:styleId="uv3um">
    <w:name w:val="uv3um"/>
    <w:basedOn w:val="DefaultParagraphFont"/>
    <w:rsid w:val="00FD67EB"/>
  </w:style>
  <w:style w:type="character" w:customStyle="1" w:styleId="nw">
    <w:name w:val="nw"/>
    <w:basedOn w:val="DefaultParagraphFont"/>
    <w:rsid w:val="005635E6"/>
  </w:style>
  <w:style w:type="paragraph" w:customStyle="1" w:styleId="lilvl1">
    <w:name w:val="li_lvl1"/>
    <w:basedOn w:val="Normal"/>
    <w:rsid w:val="005635E6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paragraph" w:customStyle="1" w:styleId="dt-p">
    <w:name w:val="dt-p"/>
    <w:basedOn w:val="Normal"/>
    <w:rsid w:val="005635E6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paragraph" w:customStyle="1" w:styleId="no-indent">
    <w:name w:val="no-indent"/>
    <w:basedOn w:val="Normal"/>
    <w:rsid w:val="00E25229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character" w:customStyle="1" w:styleId="doc-rollbutton-text">
    <w:name w:val="doc-roll__button-text"/>
    <w:basedOn w:val="DefaultParagraphFont"/>
    <w:rsid w:val="00E25229"/>
  </w:style>
  <w:style w:type="paragraph" w:customStyle="1" w:styleId="pcenter">
    <w:name w:val="pcenter"/>
    <w:basedOn w:val="Normal"/>
    <w:rsid w:val="00E8745B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paragraph" w:customStyle="1" w:styleId="pboth">
    <w:name w:val="pboth"/>
    <w:basedOn w:val="Normal"/>
    <w:rsid w:val="00E8745B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paragraph" w:customStyle="1" w:styleId="pright">
    <w:name w:val="pright"/>
    <w:basedOn w:val="Normal"/>
    <w:rsid w:val="00E8745B"/>
    <w:pPr>
      <w:spacing w:before="100" w:beforeAutospacing="1" w:after="100" w:afterAutospacing="1" w:line="240" w:lineRule="auto"/>
    </w:pPr>
    <w:rPr>
      <w:rFonts w:ascii="Angsana New" w:hAnsi="Angsana New" w:cs="Angsana New"/>
      <w:sz w:val="28"/>
      <w:szCs w:val="28"/>
      <w:lang w:val="en-US" w:bidi="th-TH"/>
      <w14:ligatures w14:val="none"/>
    </w:rPr>
  </w:style>
  <w:style w:type="character" w:styleId="UnresolvedMention">
    <w:name w:val="Unresolved Mention"/>
    <w:basedOn w:val="DefaultParagraphFont"/>
    <w:semiHidden/>
    <w:unhideWhenUsed/>
    <w:rsid w:val="00E8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3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1461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12193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1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85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10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4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0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9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0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34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0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5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2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9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540">
          <w:marLeft w:val="0"/>
          <w:marRight w:val="0"/>
          <w:marTop w:val="0"/>
          <w:marBottom w:val="240"/>
          <w:divBdr>
            <w:top w:val="single" w:sz="2" w:space="6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0471855">
          <w:marLeft w:val="30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6487882">
          <w:marLeft w:val="300"/>
          <w:marRight w:val="0"/>
          <w:marTop w:val="0"/>
          <w:marBottom w:val="240"/>
          <w:divBdr>
            <w:top w:val="single" w:sz="2" w:space="6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93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83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5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12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933">
          <w:marLeft w:val="0"/>
          <w:marRight w:val="0"/>
          <w:marTop w:val="0"/>
          <w:marBottom w:val="300"/>
          <w:divBdr>
            <w:top w:val="single" w:sz="18" w:space="15" w:color="F9AB00"/>
            <w:left w:val="none" w:sz="0" w:space="0" w:color="auto"/>
            <w:bottom w:val="single" w:sz="18" w:space="15" w:color="F9AB00"/>
            <w:right w:val="none" w:sz="0" w:space="0" w:color="auto"/>
          </w:divBdr>
        </w:div>
      </w:divsChild>
    </w:div>
    <w:div w:id="1372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10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2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1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6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7672" TargetMode="External"/><Relationship Id="rId13" Type="http://schemas.openxmlformats.org/officeDocument/2006/relationships/hyperlink" Target="https://www.consultant.ru/document/cons_doc_LAW_42359/" TargetMode="External"/><Relationship Id="rId18" Type="http://schemas.openxmlformats.org/officeDocument/2006/relationships/hyperlink" Target="https://legalacts.ru/doc/postanovlenie-pravitelstva-rf-ot-07062019-n-733-ob-obshcherossiiskikh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normativ.kontur.ru/document?moduleId=1&amp;documentId=397672" TargetMode="External"/><Relationship Id="rId12" Type="http://schemas.openxmlformats.org/officeDocument/2006/relationships/hyperlink" Target="https://www.v2b.ru/tag/ndfl/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legalacts.ru/doc/izmenenie-752022-okpd-2-obshcherossiiskii-klassifikator-produktsii-po-vida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57694" TargetMode="External"/><Relationship Id="rId11" Type="http://schemas.openxmlformats.org/officeDocument/2006/relationships/hyperlink" Target="https://www.v2b.ru/tag/nalog-na-dohody-fizicheskih-lit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2319/" TargetMode="External"/><Relationship Id="rId23" Type="http://schemas.openxmlformats.org/officeDocument/2006/relationships/hyperlink" Target="https://ural-nko.ru/okved_nko" TargetMode="External"/><Relationship Id="rId10" Type="http://schemas.openxmlformats.org/officeDocument/2006/relationships/hyperlink" Target="https://normativ.kontur.ru/document?moduleId=1&amp;documentId=394915" TargetMode="External"/><Relationship Id="rId19" Type="http://schemas.openxmlformats.org/officeDocument/2006/relationships/hyperlink" Target="https://legalacts.ru/doc/izmenenie-522022-okved-2-obshcherossiiskii-klassifikator-vidov-ekonomicheskoi-dejatel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7672" TargetMode="External"/><Relationship Id="rId14" Type="http://schemas.openxmlformats.org/officeDocument/2006/relationships/hyperlink" Target="https://www.consultant.ru/document/cons_doc_LAW_42359/d2fc933bc5ec367e9a8713330510af5d9e1a3fe4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21</Pages>
  <Words>4844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Grigory Neverov</cp:lastModifiedBy>
  <cp:revision>10</cp:revision>
  <dcterms:created xsi:type="dcterms:W3CDTF">2024-11-06T21:43:00Z</dcterms:created>
  <dcterms:modified xsi:type="dcterms:W3CDTF">2025-10-14T08:03:00Z</dcterms:modified>
</cp:coreProperties>
</file>