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right="0" w:firstLine="708"/>
        <w:jc w:val="center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</w:rPr>
        <w:t xml:space="preserve">Вопросы к вебинару 16 сентября (вторник)</w:t>
      </w:r>
      <w:r>
        <w:rPr>
          <w:b/>
          <w:bCs/>
        </w:rPr>
      </w:r>
      <w:r>
        <w:rPr>
          <w:b/>
          <w:bCs/>
        </w:rPr>
      </w:r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 </w:t>
      </w:r>
      <w:r/>
    </w:p>
    <w:p>
      <w:pPr>
        <w:ind w:left="283" w:right="0" w:firstLine="708"/>
        <w:jc w:val="both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</w:rPr>
        <w:t xml:space="preserve">1. Светлана М.</w:t>
      </w:r>
      <w:r>
        <w:rPr>
          <w:b/>
          <w:bCs/>
        </w:rPr>
      </w:r>
      <w:r>
        <w:rPr>
          <w:b/>
          <w:bCs/>
        </w:rPr>
      </w:r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</w:r>
      <w:r>
        <w:rPr>
          <w:rFonts w:ascii="Times New Roman" w:hAnsi="Times New Roman" w:eastAsia="Times New Roman" w:cs="Times New Roman"/>
          <w:b/>
          <w:color w:val="ff0000"/>
          <w:sz w:val="36"/>
          <w:u w:val="none"/>
        </w:rPr>
        <w:t xml:space="preserve">НЕВЕРОВ</w:t>
      </w:r>
      <w:r>
        <w:rPr>
          <w:rFonts w:ascii="Times New Roman" w:hAnsi="Times New Roman" w:eastAsia="Times New Roman" w:cs="Times New Roman"/>
          <w:color w:val="000000"/>
          <w:sz w:val="36"/>
        </w:rPr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Благотворительный фонд (Фонд) применяет упрощенную систему налогообложения, объект – «Доходы».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Уставной целью Фонда является деятельность, направленная на оказание социальной, материальной, финансовой, организационной и иной помощи в интересах детей, оставшихся без попечения родителей, детей, находящихся в трудной жизненной ситуации, детей с тяжелым</w:t>
      </w:r>
      <w:r>
        <w:rPr>
          <w:rFonts w:ascii="Times New Roman" w:hAnsi="Times New Roman" w:eastAsia="Times New Roman" w:cs="Times New Roman"/>
          <w:color w:val="000000"/>
          <w:sz w:val="36"/>
        </w:rPr>
        <w:t xml:space="preserve">и заболеваниями.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В 2025 г. Фондом заключено с Организацией-заказчиком соглашение о трудоустройстве инвалидов. Соглашение заключено в целях реализации заказчиком требований пункта 2 части 6 статьи 38 Федерального закона «О занятости населения в Российской Федерации». В со</w:t>
      </w:r>
      <w:r>
        <w:rPr>
          <w:rFonts w:ascii="Times New Roman" w:hAnsi="Times New Roman" w:eastAsia="Times New Roman" w:cs="Times New Roman"/>
          <w:color w:val="000000"/>
          <w:sz w:val="36"/>
        </w:rPr>
        <w:t xml:space="preserve">ответствии с соглашением Организация-заказчик осуществляет финансирование фактически произведенных Фондом расходов, связанных с приемом на работу инвалидов, оборудованием (оснащением) рабочих мест и (или) специальных рабочих мест для трудоустройства инвали</w:t>
      </w:r>
      <w:r>
        <w:rPr>
          <w:rFonts w:ascii="Times New Roman" w:hAnsi="Times New Roman" w:eastAsia="Times New Roman" w:cs="Times New Roman"/>
          <w:color w:val="000000"/>
          <w:sz w:val="36"/>
        </w:rPr>
        <w:t xml:space="preserve">дов и расходов на оплату труда инвалидов, трудоустроенных в счет установленной заказчику квоты. Фонд ежемесячно предоставляет Организации-заказчику акт и отчет о фактически произведенных расходах, на основании которых Организация-заказчик перечисляет денеж</w:t>
      </w:r>
      <w:r>
        <w:rPr>
          <w:rFonts w:ascii="Times New Roman" w:hAnsi="Times New Roman" w:eastAsia="Times New Roman" w:cs="Times New Roman"/>
          <w:color w:val="000000"/>
          <w:sz w:val="36"/>
        </w:rPr>
        <w:t xml:space="preserve">ные средства на расчетный счет Фонда.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Подлежат ли учету при формировании налоговой базы по налогу, уплачиваемому в связи с применением упрощенной системы налогообложения, суммы компенсации расходов по трудоустройству и оплате труда инвалидов?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 </w:t>
      </w:r>
      <w:r/>
    </w:p>
    <w:p>
      <w:pPr>
        <w:ind w:left="283" w:right="0" w:firstLine="708"/>
        <w:jc w:val="both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</w:rPr>
        <w:t xml:space="preserve">Нелли Г.</w:t>
      </w:r>
      <w:r>
        <w:rPr>
          <w:b/>
          <w:bCs/>
        </w:rPr>
      </w:r>
      <w:r>
        <w:rPr>
          <w:b/>
          <w:bCs/>
        </w:rPr>
      </w:r>
    </w:p>
    <w:p>
      <w:pPr>
        <w:ind w:left="707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</w:r>
      <w:r>
        <w:rPr>
          <w:rFonts w:ascii="Times New Roman" w:hAnsi="Times New Roman" w:eastAsia="Times New Roman" w:cs="Times New Roman"/>
          <w:b/>
          <w:color w:val="ffff00"/>
          <w:sz w:val="36"/>
          <w:u w:val="none"/>
        </w:rPr>
        <w:t xml:space="preserve">САВКОВА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Каким должен быть состав годовой бухгалтерской отчетности для НКО (СОНКО), начиная с отчетности за 2025 г.  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Тезисно: основные изменения в бухгалтерском и налоговом учете в НКО с 2025 г.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 </w:t>
      </w:r>
      <w:r/>
    </w:p>
    <w:p>
      <w:pPr>
        <w:ind w:left="283" w:right="0" w:firstLine="708"/>
        <w:jc w:val="both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</w:rPr>
        <w:t xml:space="preserve">Галина Геннадьевна К.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</w:r>
      <w:r>
        <w:rPr>
          <w:rFonts w:ascii="Times New Roman" w:hAnsi="Times New Roman" w:eastAsia="Times New Roman" w:cs="Times New Roman"/>
          <w:b/>
          <w:color w:val="ff00ff"/>
          <w:sz w:val="36"/>
        </w:rPr>
        <w:t xml:space="preserve">ШАРОНОВА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Является ли чек из онлайн-банка физического лица — оплата по QR-коду за участие в конференции — бланком строгой отчетности, то есть можно ли данный чек принимать как документ, подтверждающий расходы?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 </w:t>
      </w:r>
      <w:r/>
    </w:p>
    <w:p>
      <w:pPr>
        <w:ind w:left="283" w:right="0" w:firstLine="708"/>
        <w:jc w:val="both"/>
        <w:spacing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</w:rPr>
        <w:t xml:space="preserve">Наталья О.</w:t>
      </w:r>
      <w:r>
        <w:rPr>
          <w:b/>
          <w:bCs/>
        </w:rPr>
      </w:r>
      <w:r>
        <w:rPr>
          <w:b/>
          <w:bCs/>
        </w:rPr>
      </w:r>
    </w:p>
    <w:p>
      <w:pPr>
        <w:ind w:left="283" w:right="0" w:firstLine="425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</w:r>
      <w:r>
        <w:rPr>
          <w:rFonts w:ascii="Times New Roman" w:hAnsi="Times New Roman" w:eastAsia="Times New Roman" w:cs="Times New Roman"/>
          <w:b/>
          <w:color w:val="00ff00"/>
          <w:sz w:val="36"/>
          <w:u w:val="none"/>
        </w:rPr>
        <w:t xml:space="preserve">ГАМОЛЬСКИЙ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Наша АНО в рамках реализации полученного гранта от Фонда президентских грантов в 2024 г. приобрела автомобиль Лада-Гранта. Срок реализации проекта закончился 30.06.2025.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Данный автомобиль в настоящее время активно используется для уставной (в т.ч. волонтерской) деятельности и помощи благополучателям, находящимся на лечении в госпиталях Саратовской области.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Вопросы: 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1. Какие действия с автомобилем мы должны выполнять? Ведь амортизация на ОС, приобретённое за счет целевых средств, не начисляется. Сколько лет мы должны эксплуатировать его до полного износа? А что с ним делать потом?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2. Можем ли мы через какое-то время передать этот автомобиль руководителю организации?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Если да, то спустя какой срок и на основании каких нормативных документов?</w:t>
      </w:r>
      <w:r/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  <w:t xml:space="preserve">Дело в том, что страховка на юридическое лицо стоит гораздо дороже, чем на физическое лицо.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5. Ася Оскаровна Г.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</w:rPr>
      </w:r>
      <w:r>
        <w:rPr>
          <w:rFonts w:ascii="Times New Roman" w:hAnsi="Times New Roman" w:eastAsia="Times New Roman" w:cs="Times New Roman"/>
          <w:b/>
          <w:color w:val="ff0000"/>
          <w:sz w:val="36"/>
          <w:u w:val="none"/>
        </w:rPr>
        <w:t xml:space="preserve">НЕВЕРОВ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Автономная некоммерческая организация на основании договора безвозмездного пользования передала государственному бюджетному учреждению основное средство - объект обеспечения спортивно-зрелищных мероприятий - для проведения спортивных и тренировочных меропр</w:t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иятий. Объект принадлежит автономной некоммерческой организации на праве собственности.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Согласно условиям договора расходы на оплату коммунальных услуг (электроснабжение, газоснабжение, водоснабжение и пр.), а также эксплуатационные расходы (ежемесячные ТО инженерных систем, охрана объекта и иные услуги, связанные с обслуживанием объекта) воз</w:t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мещаются пользователем объекта его собственнику на основании выставленных счетов и документов поставщиков услуг.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Автономная некоммерческая организация находится на УСН с объектом «доходы» и подлежит освобождению от НДС на основании абз. 5 п. 1 ст. 145 НК РФ.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Вопросы: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- включаются ли в налоговую базу по УСН суммы возмещаемых расходов?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- при перевыставлении расходов надо ли оформлять счета-фактуры (как в случае с коммунальными услугами, так и по прочим услугам, связанным с содержанием объекта)? 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14:ligatures w14:val="none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14:ligatures w14:val="none"/>
        </w:rPr>
        <w:t xml:space="preserve">Евгения Михайловна Ф.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</w:r>
    </w:p>
    <w:p>
      <w:pPr>
        <w:ind w:left="707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</w:r>
      <w:r>
        <w:rPr>
          <w:rFonts w:ascii="Times New Roman" w:hAnsi="Times New Roman" w:eastAsia="Times New Roman" w:cs="Times New Roman"/>
          <w:b/>
          <w:color w:val="00ff00"/>
          <w:sz w:val="36"/>
          <w:u w:val="none"/>
        </w:rPr>
        <w:t xml:space="preserve">ГАМОЛЬСКИЙ</w:t>
      </w:r>
      <w:r>
        <w:rPr>
          <w:rFonts w:ascii="Times New Roman" w:hAnsi="Times New Roman" w:eastAsia="Times New Roman" w:cs="Times New Roman"/>
          <w:b/>
          <w:color w:val="ffff00"/>
          <w:sz w:val="36"/>
          <w:u w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НО является получателем субсидии на уставную деятельность из бюджета муниципального образования. В процессе деятельности для реализации социальных проектов приобретаются различные, в том числе, дорогостоящие ТМЦ. Когда проекты заканчиваются, часть ТМЦ спис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ываются, как пришедшие в негодность, а некоторые ТМЦ так и остаются "висеть" на балансе (за балансом) АНО.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Вопросы: 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1. Возможна ли передача не используемых ТМЦ другим юридическим лицам в собственность? 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2. Если возможна, то по каким основаниям и на каких условиях? 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3. Как правильно оформить передачу документально? </w:t>
      </w:r>
      <w:r/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4. Какие возможны риски?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  <w:t xml:space="preserve">7.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  <w:t xml:space="preserve">Наталья Ф.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14:ligatures w14:val="none"/>
        </w:rPr>
      </w:r>
    </w:p>
    <w:p>
      <w:pPr>
        <w:ind w:left="283" w:right="0" w:firstLine="425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</w:rPr>
      </w:r>
      <w:r>
        <w:rPr>
          <w:rFonts w:ascii="Times New Roman" w:hAnsi="Times New Roman" w:eastAsia="Times New Roman" w:cs="Times New Roman"/>
          <w:b/>
          <w:color w:val="00ff00"/>
          <w:sz w:val="36"/>
          <w:u w:val="none"/>
        </w:rPr>
        <w:t xml:space="preserve">ГАМОЛЬСКИЙ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В соответствии с законом о СПБ 5 мая 2009 г. N 185-36 ставку 7% по УСН возможно применять, если: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1 отсутствует неисполненная обязанность по уплате налогов</w:t>
      </w:r>
      <w:r/>
    </w:p>
    <w:p>
      <w:pPr>
        <w:ind w:left="283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 среднемесячный доход работников организации определяемый исходя из данных расчетов по страховым взносам, в налоговом периоде равен/больше рег. МРОТ. Среднемесячный доход = суммы дохода работникам за/( среднесписочной численности * на количество месяцев, з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а которые начислялись указанные выплаты в году).  </w:t>
      </w:r>
      <w:r/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highlight w:val="none"/>
          <w14:ligatures w14:val="none"/>
        </w:rPr>
        <w:t xml:space="preserve">Вопрос: применяется ли льгота 7% для НКО, у которой нет сотрудников по трудовым договорам, в том числе директора (нет вообще з/п начислений).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p>
      <w:pPr>
        <w:ind w:left="283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Юлия Смирнова</cp:lastModifiedBy>
  <cp:revision>9</cp:revision>
  <dcterms:modified xsi:type="dcterms:W3CDTF">2025-09-16T08:17:13Z</dcterms:modified>
</cp:coreProperties>
</file>