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2E4" w:rsidRDefault="005F72E4">
      <w:pPr>
        <w:pBdr>
          <w:top w:val="none" w:sz="4" w:space="0" w:color="000000"/>
          <w:left w:val="none" w:sz="4" w:space="0" w:color="000000"/>
          <w:bottom w:val="none" w:sz="4" w:space="0" w:color="000000"/>
          <w:right w:val="none" w:sz="4" w:space="0" w:color="000000"/>
        </w:pBdr>
        <w:spacing w:after="0"/>
        <w:ind w:left="283" w:firstLine="708"/>
        <w:jc w:val="center"/>
        <w:rPr>
          <w:rFonts w:ascii="Times New Roman" w:eastAsia="Times New Roman" w:hAnsi="Times New Roman" w:cs="Times New Roman"/>
          <w:b/>
          <w:bCs/>
          <w:color w:val="000000"/>
          <w:sz w:val="36"/>
        </w:rPr>
      </w:pPr>
      <w:r w:rsidRPr="005F72E4">
        <w:rPr>
          <w:rFonts w:ascii="Times New Roman" w:eastAsia="Times New Roman" w:hAnsi="Times New Roman" w:cs="Times New Roman"/>
          <w:b/>
          <w:bCs/>
          <w:color w:val="000000"/>
          <w:sz w:val="36"/>
        </w:rPr>
        <w:t xml:space="preserve">Материалы П.Ю. Гамольского </w:t>
      </w:r>
    </w:p>
    <w:p w:rsidR="0007504E" w:rsidRDefault="005F72E4">
      <w:pPr>
        <w:pBdr>
          <w:top w:val="none" w:sz="4" w:space="0" w:color="000000"/>
          <w:left w:val="none" w:sz="4" w:space="0" w:color="000000"/>
          <w:bottom w:val="none" w:sz="4" w:space="0" w:color="000000"/>
          <w:right w:val="none" w:sz="4" w:space="0" w:color="000000"/>
        </w:pBdr>
        <w:spacing w:after="0"/>
        <w:ind w:left="283" w:firstLine="708"/>
        <w:jc w:val="center"/>
        <w:rPr>
          <w:b/>
          <w:bCs/>
        </w:rPr>
      </w:pPr>
      <w:r w:rsidRPr="005F72E4">
        <w:rPr>
          <w:rFonts w:ascii="Times New Roman" w:eastAsia="Times New Roman" w:hAnsi="Times New Roman" w:cs="Times New Roman"/>
          <w:b/>
          <w:bCs/>
          <w:color w:val="000000"/>
          <w:sz w:val="36"/>
        </w:rPr>
        <w:t>к вебинару</w:t>
      </w:r>
      <w:r w:rsidR="00000000">
        <w:rPr>
          <w:rFonts w:ascii="Times New Roman" w:eastAsia="Times New Roman" w:hAnsi="Times New Roman" w:cs="Times New Roman"/>
          <w:b/>
          <w:bCs/>
          <w:color w:val="000000"/>
          <w:sz w:val="36"/>
        </w:rPr>
        <w:t xml:space="preserve"> 16 сентября</w:t>
      </w:r>
      <w:r>
        <w:rPr>
          <w:rFonts w:ascii="Times New Roman" w:eastAsia="Times New Roman" w:hAnsi="Times New Roman" w:cs="Times New Roman"/>
          <w:b/>
          <w:bCs/>
          <w:color w:val="000000"/>
          <w:sz w:val="36"/>
        </w:rPr>
        <w:t xml:space="preserve"> 2025 г.</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 </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rPr>
          <w:b/>
          <w:bCs/>
        </w:rPr>
      </w:pPr>
      <w:r>
        <w:rPr>
          <w:rFonts w:ascii="Times New Roman" w:eastAsia="Times New Roman" w:hAnsi="Times New Roman" w:cs="Times New Roman"/>
          <w:b/>
          <w:bCs/>
          <w:color w:val="000000"/>
          <w:sz w:val="36"/>
        </w:rPr>
        <w:t>4. Наталья О.</w:t>
      </w:r>
    </w:p>
    <w:p w:rsidR="0007504E" w:rsidRDefault="00000000">
      <w:pPr>
        <w:pBdr>
          <w:top w:val="none" w:sz="4" w:space="0" w:color="000000"/>
          <w:left w:val="none" w:sz="4" w:space="0" w:color="000000"/>
          <w:bottom w:val="none" w:sz="4" w:space="0" w:color="000000"/>
          <w:right w:val="none" w:sz="4" w:space="0" w:color="000000"/>
        </w:pBdr>
        <w:spacing w:after="0"/>
        <w:ind w:left="283" w:firstLine="425"/>
        <w:jc w:val="both"/>
      </w:pPr>
      <w:r>
        <w:rPr>
          <w:rFonts w:ascii="Times New Roman" w:eastAsia="Times New Roman" w:hAnsi="Times New Roman" w:cs="Times New Roman"/>
          <w:b/>
          <w:color w:val="00FF00"/>
          <w:sz w:val="36"/>
        </w:rPr>
        <w:t>ГАМОЛЬСКИЙ</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Наша АНО в рамках реализации полученного гранта от Фонда президентских грантов в 2024 г. приобрела автомобиль Лада-Гранта. Срок реализации проекта закончился 30.06.2025.</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Данный автомобиль в настоящее время активно используется для уставной (в т.ч. волонтерской) деятельности и помощи благополучателям, находящимся на лечении в госпиталях Саратовской области.</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 xml:space="preserve">Вопросы: </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1. Какие действия с автомобилем мы должны выполнять? Ведь амортизация на ОС, приобретённое за счет целевых средств, не начисляется. Сколько лет мы должны эксплуатировать его до полного износа? А что с ним делать потом?</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2. Можем ли мы через какое-то время передать этот автомобиль руководителю организации?</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pPr>
      <w:r>
        <w:rPr>
          <w:rFonts w:ascii="Times New Roman" w:eastAsia="Times New Roman" w:hAnsi="Times New Roman" w:cs="Times New Roman"/>
          <w:color w:val="000000"/>
          <w:sz w:val="36"/>
        </w:rPr>
        <w:t>Если да, то спустя какой срок и на основании каких нормативных документов?</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rPr>
        <w:t>Дело в том, что страховка на юридическое лицо стоит гораздо дороже, чем на физическое лицо.</w:t>
      </w:r>
    </w:p>
    <w:p w:rsidR="0007504E" w:rsidRDefault="000750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b/>
          <w:bCs/>
          <w:color w:val="000000"/>
          <w:sz w:val="28"/>
          <w:szCs w:val="28"/>
        </w:rPr>
      </w:pPr>
      <w:r w:rsidRPr="00B525B1">
        <w:rPr>
          <w:rFonts w:ascii="Times New Roman" w:eastAsia="Times New Roman" w:hAnsi="Times New Roman" w:cs="Times New Roman"/>
          <w:b/>
          <w:bCs/>
          <w:color w:val="000000"/>
          <w:sz w:val="28"/>
          <w:szCs w:val="28"/>
        </w:rPr>
        <w:t xml:space="preserve">Приказ Минфина России от 17.09.2020 </w:t>
      </w:r>
      <w:r>
        <w:rPr>
          <w:rFonts w:ascii="Times New Roman" w:eastAsia="Times New Roman" w:hAnsi="Times New Roman" w:cs="Times New Roman"/>
          <w:b/>
          <w:bCs/>
          <w:color w:val="000000"/>
          <w:sz w:val="28"/>
          <w:szCs w:val="28"/>
        </w:rPr>
        <w:t>№</w:t>
      </w:r>
      <w:r w:rsidRPr="00B525B1">
        <w:rPr>
          <w:rFonts w:ascii="Times New Roman" w:eastAsia="Times New Roman" w:hAnsi="Times New Roman" w:cs="Times New Roman"/>
          <w:b/>
          <w:bCs/>
          <w:color w:val="000000"/>
          <w:sz w:val="28"/>
          <w:szCs w:val="28"/>
        </w:rPr>
        <w:t xml:space="preserve">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w:t>
      </w:r>
      <w:r>
        <w:rPr>
          <w:rFonts w:ascii="Times New Roman" w:eastAsia="Times New Roman" w:hAnsi="Times New Roman" w:cs="Times New Roman"/>
          <w:b/>
          <w:bCs/>
          <w:color w:val="000000"/>
          <w:sz w:val="28"/>
          <w:szCs w:val="28"/>
        </w:rPr>
        <w:t>№</w:t>
      </w:r>
      <w:r w:rsidRPr="00B525B1">
        <w:rPr>
          <w:rFonts w:ascii="Times New Roman" w:eastAsia="Times New Roman" w:hAnsi="Times New Roman" w:cs="Times New Roman"/>
          <w:b/>
          <w:bCs/>
          <w:color w:val="000000"/>
          <w:sz w:val="28"/>
          <w:szCs w:val="28"/>
        </w:rPr>
        <w:t xml:space="preserve"> 60399)</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lastRenderedPageBreak/>
        <w:t>27. Стоимость основных средств погашается посредством амортизации, если иное не установлено настоящим Стандартом.</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28. Не подлежат амортизации:</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инвестиционная недвижимость, оцениваемая по переоцененной стоимости;</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основные средства, потребительские свойства которых с течением времени не изменяются (в частности, земельные участки, объекты природопользования, музейные предметы и музейные коллекции);</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используемые для реализации законодательства Российской Федерации о мобилизационной подготовке и мобилизации объекты основных средств, которые законсервированы и не используются при производстве и (или) продаже продукции (товаров), при выполнении работ или оказании услуг, для предоставления за плату во временное пользование, для управленческих нужд.</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40. Объект основных средств, который выбывает или не способен приносить организации экономические выгоды в будущем, списывается с бухгалтерского учета. Списание объекта основных средств обусловливается, например:</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а) прекращением использования этого объекта вследствие его физического или морального износа при отсутствии перспектив продажи или возобновления использования;</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б) передачей этого объекта другому лицу в связи с его продажей, меной, передачей в виде вклада в капитал другой организации, передачей в неоперационную (финансовую) аренду, передачей в некоммерческую организацию;</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в) физическим выбытием этого объекта в связи с его утратой, стихийным бедствием, пожаром, аварией и другими чрезвычайными ситуациями;</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г) истечением нормативно допустимых сроков или других предельных параметров эксплуатации этого объекта, в результате чего его использование организацией становится невозможным;</w:t>
      </w:r>
    </w:p>
    <w:p w:rsidR="00B525B1" w:rsidRP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д) прекращением организацией деятельности, в которой использовался этот объект, при отсутствии возможности его использования в продолжающейся деятельности.</w:t>
      </w:r>
    </w:p>
    <w:p w:rsidR="00B525B1" w:rsidRDefault="00B525B1"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B525B1">
        <w:rPr>
          <w:rFonts w:ascii="Times New Roman" w:eastAsia="Times New Roman" w:hAnsi="Times New Roman" w:cs="Times New Roman"/>
          <w:color w:val="000000"/>
          <w:sz w:val="28"/>
          <w:szCs w:val="28"/>
        </w:rPr>
        <w:t>41. Объект основных средств подлежит списанию в том отчетном периоде, в котором он выбывает или становится неспособным приносить организации экономические выгоды в будущем.</w:t>
      </w:r>
    </w:p>
    <w:p w:rsidR="005B224E" w:rsidRDefault="005B224E" w:rsidP="00B525B1">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center"/>
        <w:rPr>
          <w:rFonts w:ascii="Times New Roman" w:eastAsia="Times New Roman" w:hAnsi="Times New Roman" w:cs="Times New Roman"/>
          <w:b/>
          <w:bCs/>
          <w:color w:val="000000"/>
          <w:sz w:val="28"/>
          <w:szCs w:val="28"/>
        </w:rPr>
      </w:pPr>
      <w:r w:rsidRPr="005B224E">
        <w:rPr>
          <w:rFonts w:ascii="Times New Roman" w:eastAsia="Times New Roman" w:hAnsi="Times New Roman" w:cs="Times New Roman"/>
          <w:b/>
          <w:bCs/>
          <w:color w:val="000000"/>
          <w:sz w:val="28"/>
          <w:szCs w:val="28"/>
        </w:rPr>
        <w:lastRenderedPageBreak/>
        <w:t xml:space="preserve">Федеральный закон от 12.01.1996 </w:t>
      </w:r>
      <w:r>
        <w:rPr>
          <w:rFonts w:ascii="Times New Roman" w:eastAsia="Times New Roman" w:hAnsi="Times New Roman" w:cs="Times New Roman"/>
          <w:b/>
          <w:bCs/>
          <w:color w:val="000000"/>
          <w:sz w:val="28"/>
          <w:szCs w:val="28"/>
        </w:rPr>
        <w:t>№</w:t>
      </w:r>
      <w:r w:rsidRPr="005B224E">
        <w:rPr>
          <w:rFonts w:ascii="Times New Roman" w:eastAsia="Times New Roman" w:hAnsi="Times New Roman" w:cs="Times New Roman"/>
          <w:b/>
          <w:bCs/>
          <w:color w:val="000000"/>
          <w:sz w:val="28"/>
          <w:szCs w:val="28"/>
        </w:rPr>
        <w:t xml:space="preserve"> 7-ФЗ </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center"/>
        <w:rPr>
          <w:rFonts w:ascii="Times New Roman" w:eastAsia="Times New Roman" w:hAnsi="Times New Roman" w:cs="Times New Roman"/>
          <w:b/>
          <w:bCs/>
          <w:color w:val="000000"/>
          <w:sz w:val="28"/>
          <w:szCs w:val="28"/>
        </w:rPr>
      </w:pPr>
      <w:r w:rsidRPr="005B224E">
        <w:rPr>
          <w:rFonts w:ascii="Times New Roman" w:eastAsia="Times New Roman" w:hAnsi="Times New Roman" w:cs="Times New Roman"/>
          <w:b/>
          <w:bCs/>
          <w:color w:val="000000"/>
          <w:sz w:val="28"/>
          <w:szCs w:val="28"/>
        </w:rPr>
        <w:t>"О некоммерческих организациях"</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Статья 27. Конфликт интересов</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w:t>
      </w:r>
      <w:r w:rsidRPr="005B224E">
        <w:rPr>
          <w:rFonts w:ascii="Times New Roman" w:eastAsia="Times New Roman" w:hAnsi="Times New Roman" w:cs="Times New Roman"/>
          <w:color w:val="000000"/>
          <w:sz w:val="28"/>
          <w:szCs w:val="28"/>
        </w:rPr>
        <w:lastRenderedPageBreak/>
        <w:t>лица и некоммерческой организации в отношении существующей или предполагаемой сделки:</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w:t>
      </w:r>
      <w:r w:rsidRPr="005B224E">
        <w:rPr>
          <w:rFonts w:ascii="Times New Roman" w:eastAsia="Times New Roman" w:hAnsi="Times New Roman" w:cs="Times New Roman"/>
          <w:color w:val="000000"/>
          <w:sz w:val="28"/>
          <w:szCs w:val="28"/>
        </w:rPr>
        <w:t>&lt;</w:t>
      </w:r>
      <w:r>
        <w:rPr>
          <w:rFonts w:ascii="Times New Roman" w:eastAsia="Times New Roman" w:hAnsi="Times New Roman" w:cs="Times New Roman"/>
          <w:color w:val="000000"/>
          <w:sz w:val="28"/>
          <w:szCs w:val="28"/>
        </w:rPr>
        <w:t>…</w:t>
      </w:r>
      <w:r w:rsidRPr="005B224E">
        <w:rPr>
          <w:rFonts w:ascii="Times New Roman" w:eastAsia="Times New Roman" w:hAnsi="Times New Roman" w:cs="Times New Roman"/>
          <w:color w:val="000000"/>
          <w:sz w:val="28"/>
          <w:szCs w:val="28"/>
        </w:rPr>
        <w:t>&gt;</w:t>
      </w:r>
      <w:r w:rsidRPr="005B224E">
        <w:rPr>
          <w:rFonts w:ascii="Times New Roman" w:eastAsia="Times New Roman" w:hAnsi="Times New Roman" w:cs="Times New Roman"/>
          <w:color w:val="000000"/>
          <w:sz w:val="28"/>
          <w:szCs w:val="28"/>
        </w:rPr>
        <w:t>;</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сделка должна быть одобрена органом управления некоммерческой организацией или органом надзора за ее деятельностью &lt;</w:t>
      </w:r>
      <w:r>
        <w:rPr>
          <w:rFonts w:ascii="Times New Roman" w:eastAsia="Times New Roman" w:hAnsi="Times New Roman" w:cs="Times New Roman"/>
          <w:color w:val="000000"/>
          <w:sz w:val="28"/>
          <w:szCs w:val="28"/>
        </w:rPr>
        <w:t>…</w:t>
      </w:r>
      <w:r w:rsidRPr="005B224E">
        <w:rPr>
          <w:rFonts w:ascii="Times New Roman" w:eastAsia="Times New Roman" w:hAnsi="Times New Roman" w:cs="Times New Roman"/>
          <w:color w:val="000000"/>
          <w:sz w:val="28"/>
          <w:szCs w:val="28"/>
        </w:rPr>
        <w:t>&gt;.</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b/>
          <w:bCs/>
          <w:color w:val="000000"/>
          <w:sz w:val="36"/>
          <w:szCs w:val="36"/>
        </w:rPr>
      </w:pPr>
      <w:r w:rsidRPr="005B224E">
        <w:rPr>
          <w:rFonts w:ascii="Times New Roman" w:eastAsia="Times New Roman" w:hAnsi="Times New Roman" w:cs="Times New Roman"/>
          <w:b/>
          <w:bCs/>
          <w:color w:val="000000"/>
          <w:sz w:val="36"/>
          <w:szCs w:val="36"/>
        </w:rPr>
        <w:t>6. Евгения Михайловна Ф.</w:t>
      </w:r>
    </w:p>
    <w:p w:rsidR="005B224E" w:rsidRDefault="005B224E" w:rsidP="005B224E">
      <w:pPr>
        <w:pBdr>
          <w:top w:val="none" w:sz="4" w:space="0" w:color="000000"/>
          <w:left w:val="none" w:sz="4" w:space="0" w:color="000000"/>
          <w:bottom w:val="none" w:sz="4" w:space="0" w:color="000000"/>
          <w:right w:val="none" w:sz="4" w:space="0" w:color="000000"/>
        </w:pBdr>
        <w:spacing w:after="0"/>
        <w:ind w:left="283" w:firstLine="425"/>
        <w:jc w:val="both"/>
      </w:pPr>
      <w:r>
        <w:rPr>
          <w:rFonts w:ascii="Times New Roman" w:eastAsia="Times New Roman" w:hAnsi="Times New Roman" w:cs="Times New Roman"/>
          <w:b/>
          <w:color w:val="00FF00"/>
          <w:sz w:val="36"/>
        </w:rPr>
        <w:t>ГАМОЛЬСКИЙ</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АНО является получателем субсидии на уставную деятельность из бюджета муниципального образования. В процессе деятельности для реализации социальных проектов приобретаются различные, в том числе, дорогостоящие ТМЦ. Когда проекты заканчиваются, часть ТМЦ списываются, как пришедшие в негодность, а некоторые ТМЦ так и остаются "висеть" на балансе (за балансом) АНО.</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Вопросы: </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1. Возможна ли передача не используемых ТМЦ другим юридическим лицам в собственность? </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2. Если возможна, то по каким основаниям и на каких условиях? </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3. Как правильно оформить передачу документально? </w:t>
      </w:r>
    </w:p>
    <w:p w:rsidR="005B224E" w:rsidRPr="00B525B1"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4. Какие возможны риски?</w:t>
      </w:r>
    </w:p>
    <w:p w:rsidR="0007504E" w:rsidRDefault="000750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rsidR="0007504E" w:rsidRDefault="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7</w:t>
      </w:r>
      <w:r w:rsidR="00000000">
        <w:rPr>
          <w:rFonts w:ascii="Times New Roman" w:eastAsia="Times New Roman" w:hAnsi="Times New Roman" w:cs="Times New Roman"/>
          <w:b/>
          <w:bCs/>
          <w:color w:val="000000"/>
          <w:sz w:val="36"/>
          <w:szCs w:val="36"/>
        </w:rPr>
        <w:t>. Наталья Ф.</w:t>
      </w:r>
    </w:p>
    <w:p w:rsidR="0007504E" w:rsidRDefault="00000000">
      <w:pPr>
        <w:pBdr>
          <w:top w:val="none" w:sz="4" w:space="0" w:color="000000"/>
          <w:left w:val="none" w:sz="4" w:space="0" w:color="000000"/>
          <w:bottom w:val="none" w:sz="4" w:space="0" w:color="000000"/>
          <w:right w:val="none" w:sz="4" w:space="0" w:color="000000"/>
        </w:pBdr>
        <w:spacing w:after="0"/>
        <w:ind w:left="283" w:firstLine="425"/>
        <w:jc w:val="both"/>
      </w:pPr>
      <w:r>
        <w:rPr>
          <w:rFonts w:ascii="Times New Roman" w:eastAsia="Times New Roman" w:hAnsi="Times New Roman" w:cs="Times New Roman"/>
          <w:b/>
          <w:color w:val="00FF00"/>
          <w:sz w:val="36"/>
        </w:rPr>
        <w:t>ГАМОЛЬСКИЙ</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В соответствии с законом о СПБ 5 мая 2009 г. N 185-36 ставку 7% по УСН возможно применять, если:</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lastRenderedPageBreak/>
        <w:t>1 отсутствует неисполненная обязанность по уплате налогов</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2 среднемесячный доход работников организации определяемый исходя из данных расчетов по страховым взносам, в налоговом периоде равен/больше рег. МРОТ. Среднемесячный доход = суммы дохода работникам за/( среднесписочной численности * на количество месяцев, за которые начислялись указанные выплаты в году).  </w:t>
      </w:r>
    </w:p>
    <w:p w:rsidR="0007504E" w:rsidRDefault="00000000">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Вопрос: применяется ли льгота 7% для НКО, у которой нет сотрудников по трудовым договорам, в том числе директора (нет вообще з/п начислений).</w:t>
      </w:r>
    </w:p>
    <w:p w:rsidR="005B224E" w:rsidRDefault="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36"/>
          <w:szCs w:val="36"/>
        </w:rPr>
      </w:pP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center"/>
        <w:rPr>
          <w:rFonts w:ascii="Times New Roman" w:eastAsia="Times New Roman" w:hAnsi="Times New Roman" w:cs="Times New Roman"/>
          <w:b/>
          <w:bCs/>
          <w:color w:val="000000"/>
          <w:sz w:val="28"/>
          <w:szCs w:val="28"/>
        </w:rPr>
      </w:pPr>
      <w:r w:rsidRPr="005B224E">
        <w:rPr>
          <w:rFonts w:ascii="Times New Roman" w:eastAsia="Times New Roman" w:hAnsi="Times New Roman" w:cs="Times New Roman"/>
          <w:b/>
          <w:bCs/>
          <w:color w:val="000000"/>
          <w:sz w:val="28"/>
          <w:szCs w:val="28"/>
        </w:rPr>
        <w:t xml:space="preserve">Закон Санкт-Петербурга от 05.05.2009 </w:t>
      </w:r>
      <w:r w:rsidRPr="005B224E">
        <w:rPr>
          <w:rFonts w:ascii="Times New Roman" w:eastAsia="Times New Roman" w:hAnsi="Times New Roman" w:cs="Times New Roman"/>
          <w:b/>
          <w:bCs/>
          <w:color w:val="000000"/>
          <w:sz w:val="28"/>
          <w:szCs w:val="28"/>
        </w:rPr>
        <w:t>№</w:t>
      </w:r>
      <w:r w:rsidRPr="005B224E">
        <w:rPr>
          <w:rFonts w:ascii="Times New Roman" w:eastAsia="Times New Roman" w:hAnsi="Times New Roman" w:cs="Times New Roman"/>
          <w:b/>
          <w:bCs/>
          <w:color w:val="000000"/>
          <w:sz w:val="28"/>
          <w:szCs w:val="28"/>
        </w:rPr>
        <w:t xml:space="preserve"> 185-36</w:t>
      </w:r>
      <w:r w:rsidRPr="005B224E">
        <w:rPr>
          <w:rFonts w:ascii="Times New Roman" w:eastAsia="Times New Roman" w:hAnsi="Times New Roman" w:cs="Times New Roman"/>
          <w:b/>
          <w:bCs/>
          <w:color w:val="000000"/>
          <w:sz w:val="28"/>
          <w:szCs w:val="28"/>
        </w:rPr>
        <w:t xml:space="preserve"> </w:t>
      </w:r>
      <w:r w:rsidRPr="005B224E">
        <w:rPr>
          <w:rFonts w:ascii="Times New Roman" w:eastAsia="Times New Roman" w:hAnsi="Times New Roman" w:cs="Times New Roman"/>
          <w:b/>
          <w:bCs/>
          <w:color w:val="000000"/>
          <w:sz w:val="28"/>
          <w:szCs w:val="28"/>
        </w:rPr>
        <w:t>"Об установлении на территории Санкт-Петербурга налоговой ставки для организаций и индивидуальных предпринимателей, применяющих упрощ</w:t>
      </w:r>
      <w:r>
        <w:rPr>
          <w:rFonts w:ascii="Times New Roman" w:eastAsia="Times New Roman" w:hAnsi="Times New Roman" w:cs="Times New Roman"/>
          <w:b/>
          <w:bCs/>
          <w:color w:val="000000"/>
          <w:sz w:val="28"/>
          <w:szCs w:val="28"/>
        </w:rPr>
        <w:t>ё</w:t>
      </w:r>
      <w:r w:rsidRPr="005B224E">
        <w:rPr>
          <w:rFonts w:ascii="Times New Roman" w:eastAsia="Times New Roman" w:hAnsi="Times New Roman" w:cs="Times New Roman"/>
          <w:b/>
          <w:bCs/>
          <w:color w:val="000000"/>
          <w:sz w:val="28"/>
          <w:szCs w:val="28"/>
        </w:rPr>
        <w:t>нную систему налогообложения"</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Статья 1</w:t>
      </w:r>
    </w:p>
    <w:p w:rsid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2. Установить на территории Санкт-Петербурга налоговую ставку в размере 7 процентов в случае, если объектом налогообложения являются доходы, уменьшенные на величину расходов, для организаций и индивидуальных предпринимателей, применяющих упрощенную систему налогообложения, отвечающих одновременно следующим условиям с учетом ограничений, установленных в пункте 3 статьи 346.12 Налогового кодекса Российской Федерации:</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основным видом деятельности является один из видов экономической деятельности, предусмотренных следующими разделами Общероссийского классификатора видов экономической деятельности ОК 029-2014 (ОКВЭД 2): A "Сельское, лесное хозяйство, охота, рыболовство и рыбоводство", и(или) B "Добыча полезных ископаемых" (за исключением видов экономической деятельности, предусмотренных следующими кодами: 05 "Добыча угля", 06 "Добыча нефти и природного газа", 07 "Добыча металлических руд"), и(или) C "Обрабатывающие производства" (за исключением видов экономической деятельности, предусмотренных следующими кодами: 11 "Производство напитков" (кроме 11.06 </w:t>
      </w:r>
      <w:r w:rsidRPr="005B224E">
        <w:rPr>
          <w:rFonts w:ascii="Times New Roman" w:eastAsia="Times New Roman" w:hAnsi="Times New Roman" w:cs="Times New Roman"/>
          <w:color w:val="000000"/>
          <w:sz w:val="28"/>
          <w:szCs w:val="28"/>
        </w:rPr>
        <w:lastRenderedPageBreak/>
        <w:t>"Производство солода", 11.07 "Производство безалкогольных напитков; производство упакованных питьевых вод, включая минеральные воды"), 12 "Производство табачных изделий", 19 "Производство кокса и нефтепродуктов"), и(или) D "Обеспечение электрической энергией, газом и паром; кондиционирование воздуха", и(или) E "Водоснабжение; водоотведение, организация сбора и утилизации отходов, деятельность по ликвидации загрязнений", и(или) F "Строительство", и(или) G "Торговля оптовая и розничная; ремонт автотранспортных средств и мотоциклов", и(или) H "Транспортировка и хранение", и(или) I "Деятельность гостиниц и предприятий общественного питания", и(или) J "Деятельность в области информации и связи", и(или) K "Деятельность финансовая и страховая", и(или) L "Деятельность по операциям с недвижимым имуществом", и(или) M "Деятельность профессиональная, научная и техническая", и(или) N "Деятельность административная и сопутствующие дополнительные услуги", и(или) O "Государственное управление и обеспечение военной безопасности; социальное обеспечение", и(или) P "Образование", и(или) Q "Деятельность в области здравоохранения и социальных услуг", и(или) R "Деятельность в области культуры, спорта, организации досуга и развлечений", и(или) S "Предоставление прочих видов услуг", и(или)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отсутствует неисполненная обязанность по уплате налогов, сборов и других обязательных платежей в бюджеты всех уровней и государственные внебюджетные фонды, а также пеней и штрафов по состоянию на последний день налогового периода;</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b/>
          <w:bCs/>
          <w:color w:val="000000"/>
          <w:sz w:val="28"/>
          <w:szCs w:val="28"/>
        </w:rPr>
        <w:t>среднемесячный доход работников организации</w:t>
      </w:r>
      <w:r w:rsidRPr="005B224E">
        <w:rPr>
          <w:rFonts w:ascii="Times New Roman" w:eastAsia="Times New Roman" w:hAnsi="Times New Roman" w:cs="Times New Roman"/>
          <w:color w:val="000000"/>
          <w:sz w:val="28"/>
          <w:szCs w:val="28"/>
        </w:rPr>
        <w:t xml:space="preserve"> и ее обособленных подразделений, расположенных на территории Санкт-Петербурга (наемных работников индивидуального предпринимателя), </w:t>
      </w:r>
      <w:r w:rsidRPr="005B224E">
        <w:rPr>
          <w:rFonts w:ascii="Times New Roman" w:eastAsia="Times New Roman" w:hAnsi="Times New Roman" w:cs="Times New Roman"/>
          <w:b/>
          <w:bCs/>
          <w:color w:val="000000"/>
          <w:sz w:val="28"/>
          <w:szCs w:val="28"/>
        </w:rPr>
        <w:t>определяемый исходя из данных расч</w:t>
      </w:r>
      <w:r>
        <w:rPr>
          <w:rFonts w:ascii="Times New Roman" w:eastAsia="Times New Roman" w:hAnsi="Times New Roman" w:cs="Times New Roman"/>
          <w:b/>
          <w:bCs/>
          <w:color w:val="000000"/>
          <w:sz w:val="28"/>
          <w:szCs w:val="28"/>
        </w:rPr>
        <w:t>ё</w:t>
      </w:r>
      <w:r w:rsidRPr="005B224E">
        <w:rPr>
          <w:rFonts w:ascii="Times New Roman" w:eastAsia="Times New Roman" w:hAnsi="Times New Roman" w:cs="Times New Roman"/>
          <w:b/>
          <w:bCs/>
          <w:color w:val="000000"/>
          <w:sz w:val="28"/>
          <w:szCs w:val="28"/>
        </w:rPr>
        <w:t>тов по страховым взносам, в налоговом периоде равен размеру минимальной заработной платы, установленному региональным соглашением о минимальной заработной плате в Санкт-Петербурге, действующему в течение указанного налогового периода, или превышает его</w:t>
      </w:r>
      <w:r w:rsidRPr="005B224E">
        <w:rPr>
          <w:rFonts w:ascii="Times New Roman" w:eastAsia="Times New Roman" w:hAnsi="Times New Roman" w:cs="Times New Roman"/>
          <w:color w:val="000000"/>
          <w:sz w:val="28"/>
          <w:szCs w:val="28"/>
        </w:rPr>
        <w:t>.</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 xml:space="preserve">В целях применения положений настоящего пункта среднемесячный доход работников организации и ее обособленных подразделений, расположенных на территории Санкт-Петербурга (работников индивидуального предпринимателя), рассчитывается путем деления суммы начисленных работникам в соответствующем налоговом периоде выплат и </w:t>
      </w:r>
      <w:r w:rsidRPr="005B224E">
        <w:rPr>
          <w:rFonts w:ascii="Times New Roman" w:eastAsia="Times New Roman" w:hAnsi="Times New Roman" w:cs="Times New Roman"/>
          <w:color w:val="000000"/>
          <w:sz w:val="28"/>
          <w:szCs w:val="28"/>
        </w:rPr>
        <w:lastRenderedPageBreak/>
        <w:t>иных вознаграждений, являющихся объектом обложения страховыми взносами в соответствии со статьей 420 Налогового кодекса Российской Федерации, определяемой согласно данным расчетов по страховым взносам за календарный год, в котором организацией или индивидуальным предпринимателем применяется налоговая ставка, установленная в настоящем пункте, на произведение показателя среднесписочной численности работников в указанном календарном году на количество месяцев, за которые начислялись указанные выплаты и вознаграждения в пределах соответствующего налогового периода.</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Размер минимальной заработной платы в Санкт-Петербурге определяется в порядке, предусмотренном в пункте 4 статьи 11-13 Закона Санкт-Петербурга от 28 июня 1995 года N 81-11 "О налоговых льготах".</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В отношении индивидуальных предпринимателей, осуществляющих деятельность без привлечения работников и не производящих выплат и иных вознаграждений физическим лицам, положения абзаца четвертого настоящего пункта не применяются.</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В целях применения положений настоящего пункта основной вид экономической деятельности организации или индивидуального предпринимателя определяется на основании сведений, содержащихся в Едином государственном реестре юридических лиц или Едином государственном реестре индивидуальных предпринимателей по состоянию на первое число налогового периода, в котором применяется налоговая ставка, предусмотренная в настоящем пункте.</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r w:rsidRPr="005B224E">
        <w:rPr>
          <w:rFonts w:ascii="Times New Roman" w:eastAsia="Times New Roman" w:hAnsi="Times New Roman" w:cs="Times New Roman"/>
          <w:color w:val="000000"/>
          <w:sz w:val="28"/>
          <w:szCs w:val="28"/>
        </w:rPr>
        <w:t>В случае, если по итогам налогового периода налогоплательщик не выполняет хотя бы одно из условий, установленных в настоящем пункте, такой налогоплательщик утрачивает право на применение налоговой ставки, предусмотренной в настоящем пункте, с начала налогового периода, в котором допущено несоответствие установленному условию (установленным условиям).</w:t>
      </w:r>
    </w:p>
    <w:p w:rsidR="005B224E" w:rsidRPr="005B224E" w:rsidRDefault="005B224E" w:rsidP="005B224E">
      <w:pPr>
        <w:pBdr>
          <w:top w:val="none" w:sz="4" w:space="0" w:color="000000"/>
          <w:left w:val="none" w:sz="4" w:space="0" w:color="000000"/>
          <w:bottom w:val="none" w:sz="4" w:space="0" w:color="000000"/>
          <w:right w:val="none" w:sz="4" w:space="0" w:color="000000"/>
        </w:pBdr>
        <w:spacing w:after="0"/>
        <w:ind w:left="283" w:firstLine="708"/>
        <w:jc w:val="both"/>
        <w:rPr>
          <w:rFonts w:ascii="Times New Roman" w:eastAsia="Times New Roman" w:hAnsi="Times New Roman" w:cs="Times New Roman"/>
          <w:color w:val="000000"/>
          <w:sz w:val="28"/>
          <w:szCs w:val="28"/>
        </w:rPr>
      </w:pPr>
    </w:p>
    <w:sectPr w:rsidR="005B224E" w:rsidRPr="005B224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C37" w:rsidRDefault="00615C37">
      <w:pPr>
        <w:spacing w:after="0" w:line="240" w:lineRule="auto"/>
      </w:pPr>
      <w:r>
        <w:separator/>
      </w:r>
    </w:p>
  </w:endnote>
  <w:endnote w:type="continuationSeparator" w:id="0">
    <w:p w:rsidR="00615C37" w:rsidRDefault="0061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C37" w:rsidRDefault="00615C37">
      <w:pPr>
        <w:spacing w:after="0" w:line="240" w:lineRule="auto"/>
      </w:pPr>
      <w:r>
        <w:separator/>
      </w:r>
    </w:p>
  </w:footnote>
  <w:footnote w:type="continuationSeparator" w:id="0">
    <w:p w:rsidR="00615C37" w:rsidRDefault="00615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4E"/>
    <w:rsid w:val="0007504E"/>
    <w:rsid w:val="005B224E"/>
    <w:rsid w:val="005C4517"/>
    <w:rsid w:val="005F72E4"/>
    <w:rsid w:val="00615C37"/>
    <w:rsid w:val="00721650"/>
    <w:rsid w:val="00B5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7361"/>
  <w15:docId w15:val="{D55AE1EE-7C89-4293-854E-50CD8FEA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w:eastAsia="Liberation Sans" w:hAnsi="Liberation Sans" w:cs="Liberation Sans"/>
      <w:sz w:val="20"/>
      <w:szCs w:val="20"/>
    </w:rPr>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outlineLvl w:val="2"/>
    </w:pPr>
    <w:rPr>
      <w:rFonts w:eastAsia="Arial"/>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sz w:val="22"/>
      <w:szCs w:val="22"/>
    </w:rPr>
  </w:style>
  <w:style w:type="paragraph" w:styleId="7">
    <w:name w:val="heading 7"/>
    <w:basedOn w:val="a"/>
    <w:next w:val="a"/>
    <w:link w:val="70"/>
    <w:uiPriority w:val="9"/>
    <w:unhideWhenUsed/>
    <w:qFormat/>
    <w:pPr>
      <w:keepNext/>
      <w:keepLines/>
      <w:spacing w:before="320"/>
      <w:outlineLvl w:val="6"/>
    </w:pPr>
    <w:rPr>
      <w:b/>
      <w:bCs/>
      <w:i/>
      <w:iCs/>
      <w:sz w:val="22"/>
      <w:szCs w:val="22"/>
    </w:rPr>
  </w:style>
  <w:style w:type="paragraph" w:styleId="8">
    <w:name w:val="heading 8"/>
    <w:basedOn w:val="a"/>
    <w:next w:val="a"/>
    <w:link w:val="80"/>
    <w:uiPriority w:val="9"/>
    <w:unhideWhenUsed/>
    <w:qFormat/>
    <w:pPr>
      <w:keepNext/>
      <w:keepLines/>
      <w:spacing w:before="320"/>
      <w:outlineLvl w:val="7"/>
    </w:pPr>
    <w:rPr>
      <w:i/>
      <w:iCs/>
      <w:sz w:val="22"/>
      <w:szCs w:val="22"/>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1950</Words>
  <Characters>11119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Pavel Gamolskiy</cp:lastModifiedBy>
  <cp:revision>8</cp:revision>
  <dcterms:created xsi:type="dcterms:W3CDTF">2025-09-16T07:20:00Z</dcterms:created>
  <dcterms:modified xsi:type="dcterms:W3CDTF">2025-09-16T08:33:00Z</dcterms:modified>
</cp:coreProperties>
</file>