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708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Вопросы к вебинару 21 августа 2025 г. (четверг)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</w:rPr>
        <w:t xml:space="preserve">1. Маргарита Николаевна К.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</w:r>
      <w:r>
        <w:rPr>
          <w:rFonts w:ascii="Times New Roman" w:hAnsi="Times New Roman" w:eastAsia="Times New Roman" w:cs="Times New Roman"/>
          <w:b/>
          <w:color w:val="ffff00"/>
          <w:sz w:val="36"/>
          <w:u w:val="none"/>
        </w:rPr>
        <w:t xml:space="preserve">САВКОВА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НКО получила от ИФНС № 36 извещение об уплате штрафа, в связи с нарушениями срока представления декларации по УСН за 2024 г.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Уведомление об отказе в принятии Декларации было получено простым (не заказным) письмом 09.05.2025 (штемпель на конверте 06.05.2025).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Уточненная декларация была отправлена 10.05.2025 заказным эл. письмом почтой РФ.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Правомерно ли направление в адрес НКО извещения о штрафе, на какую статью НК РФ можно сослаться для Ответа?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0" w:right="0" w:firstLine="708"/>
        <w:jc w:val="both"/>
        <w:spacing w:after="0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</w:rPr>
        <w:t xml:space="preserve">2. Татьяна Сергеевна Ц.</w:t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</w:r>
      <w:r>
        <w:rPr>
          <w:rFonts w:ascii="Times New Roman" w:hAnsi="Times New Roman" w:eastAsia="Times New Roman" w:cs="Times New Roman"/>
          <w:b/>
          <w:color w:val="ffff00"/>
          <w:sz w:val="36"/>
          <w:u w:val="none"/>
        </w:rPr>
        <w:t xml:space="preserve">САВКОВА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В благотворительный фонд от поставщика по накладной поступило: «Коляска для триатлона» в количестве 5 штук по цене 195 000,00 за единицу. Срок полезного использования данного инвентаря более 12 месяцев. Стоимостной лимит для признания актива основным средс</w:t>
      </w:r>
      <w:r>
        <w:rPr>
          <w:rFonts w:ascii="Times New Roman" w:hAnsi="Times New Roman" w:eastAsia="Times New Roman" w:cs="Times New Roman"/>
          <w:color w:val="000000"/>
          <w:sz w:val="36"/>
        </w:rPr>
        <w:t xml:space="preserve">твом в учетной политике свыше 100 000,00.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Данная коляска разборная (каркас, колеса 3 штуки, лежак, съемная велосипедная ручка, чехол, вилка переднего колеса), срок использования отдельных частей не значительно отличается, чем срок использования корпуса.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Собираем её для проведения спортивных мероприятий, хранится на складе в разборном виде.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Как правильно оприходовать данный актив, если известна только его окончательная стоимость в собранном виде?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0" w:right="0" w:firstLine="708"/>
        <w:jc w:val="both"/>
        <w:spacing w:after="0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</w:rPr>
        <w:t xml:space="preserve">3. Оксана Владимировна Г.</w:t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</w:r>
      <w:r>
        <w:rPr>
          <w:rFonts w:ascii="Times New Roman" w:hAnsi="Times New Roman" w:eastAsia="Times New Roman" w:cs="Times New Roman"/>
          <w:b/>
          <w:color w:val="ffff00"/>
          <w:sz w:val="36"/>
          <w:u w:val="none"/>
        </w:rPr>
        <w:t xml:space="preserve">САВКОВА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Какими проводками провести следующие действия в общественной благотворительной организации, применяющей УСН? 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Продавец выставляет счёт на покупку товаров на имя благотворительной общественной организации (заказчик), счёт оплачивается третьим лицом, в ТТН расписывается заказчик. Затем имущество расходуется на благотворительную программу. По сути – это пожертвование</w:t>
      </w:r>
      <w:r>
        <w:rPr>
          <w:rFonts w:ascii="Times New Roman" w:hAnsi="Times New Roman" w:eastAsia="Times New Roman" w:cs="Times New Roman"/>
          <w:color w:val="000000"/>
          <w:sz w:val="36"/>
        </w:rPr>
        <w:t xml:space="preserve"> от третьего лица – плательщика. </w:t>
      </w:r>
      <w:r/>
    </w:p>
    <w:p>
      <w:pPr>
        <w:ind w:left="0" w:right="0" w:firstLine="708"/>
        <w:jc w:val="both"/>
        <w:spacing w:after="0"/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Правильно ли будет отразить поступление пожертвования в натуральной форме: Д-т 76 К-т 86, затем поступление товара Д-т 10 К-т 60 и закрытие расчётов с поставщиком за счёт пожертвования Д-т 60 К-т 76?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</w:r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708"/>
        <w:jc w:val="both"/>
        <w:spacing w:after="0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  <w:highlight w:val="none"/>
        </w:rPr>
        <w:t xml:space="preserve">4. Наталья Ф. </w:t>
      </w:r>
      <w:r>
        <w:rPr>
          <w:b/>
          <w:bCs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</w:rPr>
      </w:r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</w:r>
      <w:r>
        <w:rPr>
          <w:rFonts w:ascii="Times New Roman" w:hAnsi="Times New Roman" w:eastAsia="Times New Roman" w:cs="Times New Roman"/>
          <w:b/>
          <w:color w:val="ffff00"/>
          <w:sz w:val="36"/>
          <w:u w:val="none"/>
        </w:rPr>
        <w:t xml:space="preserve">САВКОВА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highlight w:val="none"/>
        </w:rPr>
        <w:t xml:space="preserve">Благотворительный фонд, подлежащий обязательной аудиторской проверке, получает финансирование не ровное из года в год, например: 2023 — меньше 3 млн. руб. и в учётной политике изначально было прописано об упрощенных способах ведения БУ</w:t>
      </w:r>
      <w:r>
        <w:rPr>
          <w:rFonts w:ascii="Times New Roman" w:hAnsi="Times New Roman" w:eastAsia="Times New Roman" w:cs="Times New Roman"/>
          <w:color w:val="000000"/>
          <w:sz w:val="36"/>
          <w:highlight w:val="none"/>
        </w:rPr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highlight w:val="none"/>
        </w:rPr>
        <w:t xml:space="preserve">2024 — более 3 млн. руб.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highlight w:val="none"/>
        </w:rPr>
        <w:t xml:space="preserve">2025 — менее 3 млн. руб.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highlight w:val="none"/>
        </w:rPr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36"/>
          <w:highlight w:val="none"/>
        </w:rPr>
        <w:t xml:space="preserve">онятно, что в 2025 г. фонд не можем применять упрощ. БУ, но, 2026 году может ли он вернуться к применению упрощ. БУ, хотя бы в части отчетности? И как быть организациям, которые периодически то менее, то более 3 млн. руб. получают? Вести только полный учет</w:t>
      </w:r>
      <w:r>
        <w:rPr>
          <w:rFonts w:ascii="Times New Roman" w:hAnsi="Times New Roman" w:eastAsia="Times New Roman" w:cs="Times New Roman"/>
          <w:color w:val="000000"/>
          <w:sz w:val="36"/>
          <w:highlight w:val="none"/>
        </w:rPr>
        <w:t xml:space="preserve">?</w:t>
      </w:r>
      <w:r>
        <w:rPr>
          <w:rFonts w:ascii="Times New Roman" w:hAnsi="Times New Roman" w:eastAsia="Times New Roman" w:cs="Times New Roman"/>
          <w:color w:val="000000"/>
          <w:sz w:val="36"/>
          <w:highlight w:val="none"/>
        </w:rPr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0" w:right="0" w:firstLine="708"/>
        <w:jc w:val="both"/>
        <w:spacing w:after="0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</w:rPr>
        <w:t xml:space="preserve">5. Евгения Ш.</w:t>
      </w:r>
      <w:r>
        <w:rPr>
          <w:b/>
          <w:bCs/>
        </w:rPr>
      </w:r>
      <w:r>
        <w:rPr>
          <w:b/>
          <w:bCs/>
        </w:rPr>
      </w:r>
    </w:p>
    <w:p>
      <w:pPr>
        <w:ind w:left="720" w:right="0" w:firstLine="0"/>
        <w:spacing w:after="0"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</w:r>
      <w:r>
        <w:rPr>
          <w:rFonts w:ascii="Times New Roman" w:hAnsi="Times New Roman" w:eastAsia="Times New Roman" w:cs="Times New Roman"/>
          <w:b/>
          <w:color w:val="ff0000"/>
          <w:sz w:val="36"/>
          <w:u w:val="none"/>
        </w:rPr>
        <w:t xml:space="preserve">НЕВЕРОВ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Небольшая членская организация арбитражных управляющих, СРО. В его уставе в целях деятельности есть пункт «Представление и защита интересов членов организации, а также координация, регулирование и обеспечение деятельности, включая право на судебную защиту </w:t>
      </w:r>
      <w:r>
        <w:rPr>
          <w:rFonts w:ascii="Times New Roman" w:hAnsi="Times New Roman" w:eastAsia="Times New Roman" w:cs="Times New Roman"/>
          <w:color w:val="000000"/>
          <w:sz w:val="36"/>
        </w:rPr>
        <w:t xml:space="preserve">интересов организации и ее членов».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В штате организации есть юрист, но его работа направлена на контроль деятельности арбитражных управляющих именно в рамках СРО (дисциплинарный комитет). На арбитражных управляющих часто подают в суд (обоснованно и не обоснованно) и к этим судам привлекают С</w:t>
      </w:r>
      <w:r>
        <w:rPr>
          <w:rFonts w:ascii="Times New Roman" w:hAnsi="Times New Roman" w:eastAsia="Times New Roman" w:cs="Times New Roman"/>
          <w:color w:val="000000"/>
          <w:sz w:val="36"/>
        </w:rPr>
        <w:t xml:space="preserve">РО в качестве третьего лица, т.к. СРО отвечает за убытки своих членов компенсационным фондом. У штатного юриста с его реальной загруженностью нет физической возможности сопровождать такое количество судов.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На судебные споры мы привлекаем юридическую организацию, в штате которой есть юристы разных специализаций, расходы утверждены сметой. В штат себе еще юристов взять не можем, т.к. споры разной направленности и разной периодичности, поэтому экономически целе</w:t>
      </w:r>
      <w:r>
        <w:rPr>
          <w:rFonts w:ascii="Times New Roman" w:hAnsi="Times New Roman" w:eastAsia="Times New Roman" w:cs="Times New Roman"/>
          <w:color w:val="000000"/>
          <w:sz w:val="36"/>
        </w:rPr>
        <w:t xml:space="preserve">сообразней обращаться к универсальному партнеру за таким сопровождением с его большим спектром специалистов по разным практикам.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В последнее время столкнулись с тем, что количество судов растет кратно с каждым новым членом организации, расходы становятся критически большими и серьезно превышают смету по юр. статье (например, за 1 мес. было превышение на 1 млн. рублей при ежемесячном</w:t>
      </w:r>
      <w:r>
        <w:rPr>
          <w:rFonts w:ascii="Times New Roman" w:hAnsi="Times New Roman" w:eastAsia="Times New Roman" w:cs="Times New Roman"/>
          <w:color w:val="000000"/>
          <w:sz w:val="36"/>
        </w:rPr>
        <w:t xml:space="preserve"> членском взносе в несколько тысяч рублей). 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Может ли СРО часть юридических расходов (в виде обязательных дополнительных взносов) перекладывать на конкретных управляющих, по которым идут суды? И если да, достаточно ли будет Положения по таким взносам, утвержденного на Общем собрании членов?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Даже выплата в несколько миллионов из комп. фонда может лишить нас статуса СРО, что приведет к закрытию организации, поэтому вопрос для нас очень важный. 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</w:rPr>
        <w:t xml:space="preserve">6. Светлана Юрьевна Д.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</w:r>
      <w:r>
        <w:rPr>
          <w:rFonts w:ascii="Times New Roman" w:hAnsi="Times New Roman" w:eastAsia="Times New Roman" w:cs="Times New Roman"/>
          <w:b/>
          <w:color w:val="ff00ff"/>
          <w:sz w:val="36"/>
        </w:rPr>
        <w:t xml:space="preserve">ШАРОНОВА</w:t>
      </w:r>
      <w:r>
        <w:rPr>
          <w:rFonts w:ascii="Times New Roman" w:hAnsi="Times New Roman" w:eastAsia="Times New Roman" w:cs="Times New Roman"/>
          <w:color w:val="000000"/>
          <w:sz w:val="36"/>
        </w:rPr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1.</w:t>
        <w:tab/>
        <w:t xml:space="preserve">Сотрудник с 9 по 30 июня был в очередном отпуске. За 10 дней до его окончания он написал заявление об увольнении с 1-го числа следующего месяца. Согласно коллективному договору, действующему в организации, при увольнении работнику выплачивается выходное</w:t>
      </w:r>
      <w:r>
        <w:rPr>
          <w:rFonts w:ascii="Times New Roman" w:hAnsi="Times New Roman" w:eastAsia="Times New Roman" w:cs="Times New Roman"/>
          <w:color w:val="000000"/>
          <w:sz w:val="36"/>
        </w:rPr>
        <w:t xml:space="preserve"> пособие в зависимости от стажа работы. В последний день отпуска работнику выплачено выходное пособие за минусом суммы неотработанных 6 дней отпуска. Других выплат, в том числе заработной платы, у работника не было. Согласно статье 137 ТК РФ удержание за н</w:t>
      </w:r>
      <w:r>
        <w:rPr>
          <w:rFonts w:ascii="Times New Roman" w:hAnsi="Times New Roman" w:eastAsia="Times New Roman" w:cs="Times New Roman"/>
          <w:color w:val="000000"/>
          <w:sz w:val="36"/>
        </w:rPr>
        <w:t xml:space="preserve">еотработанные дни отпуска возможно только из заработной платы. Прав ли работодатель в данной ситуации (заявление на удержание переплаченных отпускных работник не писал)?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36"/>
        </w:rPr>
        <w:t xml:space="preserve">.</w:t>
        <w:tab/>
        <w:t xml:space="preserve">В организации имеется первичная профсоюзная организация, которая при получении членских профсоюзных взносов от членов профсоюза - бывших работников (пенсионеров) один раз в год использует ведомость, а не приходные кассовые ордера. В связи с этим таким чл</w:t>
      </w:r>
      <w:r>
        <w:rPr>
          <w:rFonts w:ascii="Times New Roman" w:hAnsi="Times New Roman" w:eastAsia="Times New Roman" w:cs="Times New Roman"/>
          <w:color w:val="000000"/>
          <w:sz w:val="36"/>
        </w:rPr>
        <w:t xml:space="preserve">енам профсоюза не выдается корешок к приходному кассовому ордеру. В некоторых случаях за члена профсоюза- пенсионера членские профсоюзные взносы вносит родственник по доверенности, при этом подпись доверителя заверяет работник кадровой службы организации (</w:t>
      </w:r>
      <w:r>
        <w:rPr>
          <w:rFonts w:ascii="Times New Roman" w:hAnsi="Times New Roman" w:eastAsia="Times New Roman" w:cs="Times New Roman"/>
          <w:color w:val="000000"/>
          <w:sz w:val="36"/>
        </w:rPr>
        <w:t xml:space="preserve">бывшего работодателя). Права ли профорганизация, применять в таких случаях ведомость на внесение наличных денежных средств, которая не предусмотрена Положением по ведению кассовых операций, и вправе ли профорганизация принимать доверенности, оформленные не</w:t>
      </w:r>
      <w:r>
        <w:rPr>
          <w:rFonts w:ascii="Times New Roman" w:hAnsi="Times New Roman" w:eastAsia="Times New Roman" w:cs="Times New Roman"/>
          <w:color w:val="000000"/>
          <w:sz w:val="36"/>
        </w:rPr>
        <w:t xml:space="preserve"> нотариально?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</w:rPr>
        <w:t xml:space="preserve">7. Вероника Юрьевна Б.</w:t>
      </w:r>
      <w:r/>
    </w:p>
    <w:p>
      <w:pPr>
        <w:ind w:left="283" w:right="0" w:firstLine="425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</w:r>
      <w:r>
        <w:rPr>
          <w:rFonts w:ascii="Times New Roman" w:hAnsi="Times New Roman" w:eastAsia="Times New Roman" w:cs="Times New Roman"/>
          <w:b/>
          <w:color w:val="00ff00"/>
          <w:sz w:val="36"/>
          <w:u w:val="none"/>
        </w:rPr>
        <w:t xml:space="preserve">ГАМОЛЬСКИЙ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Общественная организация должна оплатить (проезд, проживание) приглашенных экспертов. Этих людей нет в штате организации. 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Наша организация должна оплатить с р/с билеты и проживание или эксперты все оплачивают и потом мы должны возместить эти расходы?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Есть документы (Смета, Приглашение на мероприятие, приказ, билеты, посадочные талоны, чеки за проживание).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Какие документы мы должны составит и избежать налогообложения?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Какой договор должны заключить? Можете отправить образец договора.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Должны представить СЗВ-М? 6-НДФЛ?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>
        <w:rPr>
          <w:rFonts w:ascii="Calibri" w:hAnsi="Calibri" w:eastAsia="Calibri" w:cs="Calibri"/>
          <w:sz w:val="22"/>
        </w:rPr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</w:rPr>
        <w:t xml:space="preserve">8. Лариса Борисовна Е.</w:t>
      </w:r>
      <w:r/>
    </w:p>
    <w:p>
      <w:pPr>
        <w:ind w:left="720" w:right="0" w:firstLine="0"/>
        <w:spacing w:after="0"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</w:r>
      <w:r>
        <w:rPr>
          <w:rFonts w:ascii="Times New Roman" w:hAnsi="Times New Roman" w:eastAsia="Times New Roman" w:cs="Times New Roman"/>
          <w:b/>
          <w:color w:val="ff0000"/>
          <w:sz w:val="36"/>
          <w:u w:val="none"/>
        </w:rPr>
        <w:t xml:space="preserve">НЕВЕРОВ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1. Вносим изменения в Устав и юрист предлагает зарегистрировать  "Типовой устав ассоциации", разработанный Минюстом, его особенность в том, что мы не можем вносить произвольные изменения в него, а вправе заполнять только отведенные графы. Но в целом, он на</w:t>
      </w:r>
      <w:r>
        <w:rPr>
          <w:rFonts w:ascii="Times New Roman" w:hAnsi="Times New Roman" w:eastAsia="Times New Roman" w:cs="Times New Roman"/>
          <w:color w:val="000000"/>
          <w:sz w:val="36"/>
        </w:rPr>
        <w:t xml:space="preserve">с устраивает.  В Разделе IV данного устава: (Общее собрание членов ассоциации), к исключительной компетенции Общего собрания членов ассоциации  относится решение следующих вопросов:  п.4) утверждение годовых отчетов и бухгалтерской (финансовой) отчетности </w:t>
      </w:r>
      <w:r>
        <w:rPr>
          <w:rFonts w:ascii="Times New Roman" w:hAnsi="Times New Roman" w:eastAsia="Times New Roman" w:cs="Times New Roman"/>
          <w:color w:val="000000"/>
          <w:sz w:val="36"/>
        </w:rPr>
        <w:t xml:space="preserve">ассоциации (союза); 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Конкретно в данном Разделе не упомянуты ни Смета НКО, ни финансовый план. Значит ли это, что Смету расходов можно не утверждать Общим собранием? 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283" w:right="0" w:firstLine="425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</w:r>
      <w:r>
        <w:rPr>
          <w:rFonts w:ascii="Times New Roman" w:hAnsi="Times New Roman" w:eastAsia="Times New Roman" w:cs="Times New Roman"/>
          <w:b/>
          <w:color w:val="00ff00"/>
          <w:sz w:val="36"/>
          <w:u w:val="none"/>
        </w:rPr>
        <w:t xml:space="preserve">ГАМОЛЬСКИЙ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2. В Уставе НКО  предметом  деятельности является в том числе содействие внедрению непрерывного постдипломного образования  медицинских специалистов (работающих  в конкретной области здравоохранения). 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НКО в целях осуществления уставной деятельности проводит образовательные мероприятия (научно-практические конференции, семинары) как в Москве, так и с выездом экспертов в регионы. В рамках проведения образовательных мероприятий эксперты НКО  читают лекции,</w:t>
      </w:r>
      <w:r>
        <w:rPr>
          <w:rFonts w:ascii="Times New Roman" w:hAnsi="Times New Roman" w:eastAsia="Times New Roman" w:cs="Times New Roman"/>
          <w:color w:val="000000"/>
          <w:sz w:val="36"/>
        </w:rPr>
        <w:t xml:space="preserve">   а также организуются дискуссии  по теме мероприятия и тематические обсуждения.  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Регистрационный сбор за участие в конференции не  взимается!! Источник финансирования мероприятий – выручка от   оказания информационных услуг  в рамках  проведения мероприятия по договорам возмездного оказания услуг (т. е. деятельность, приносящая доход) </w:t>
      </w:r>
      <w:r>
        <w:rPr>
          <w:rFonts w:ascii="Times New Roman" w:hAnsi="Times New Roman" w:eastAsia="Times New Roman" w:cs="Times New Roman"/>
          <w:color w:val="000000"/>
          <w:sz w:val="36"/>
        </w:rPr>
        <w:t xml:space="preserve">или пожертвования.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Оказание информационных услуг контрагентам  в рамках  проведения  конференции   предполагает наличие аудитории медицинских специалистов (предметом договора с контрагентом м.б., например, предоставление деперсонифицированных списков участников) .  При  пров</w:t>
      </w:r>
      <w:r>
        <w:rPr>
          <w:rFonts w:ascii="Times New Roman" w:hAnsi="Times New Roman" w:eastAsia="Times New Roman" w:cs="Times New Roman"/>
          <w:color w:val="000000"/>
          <w:sz w:val="36"/>
        </w:rPr>
        <w:t xml:space="preserve">едении мероприятий в Москве  НКО приглашает  медицинских специалистов из регионов, оплачивает им проезд и проживание. Кроме того, на конференции с международным участием  приглашаются иностранные специалисты, которым также оплачивается проезд и проживание.</w:t>
      </w:r>
      <w:r>
        <w:rPr>
          <w:rFonts w:ascii="Times New Roman" w:hAnsi="Times New Roman" w:eastAsia="Times New Roman" w:cs="Times New Roman"/>
          <w:color w:val="000000"/>
          <w:sz w:val="36"/>
        </w:rPr>
        <w:t xml:space="preserve">    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Все приглашенные участники на безвозмездной основе участвуют в дискуссиях и тематических обсуждениях. 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Вопрос 2.1. Насколько реально доказать, что стоимость проезда и проживания в гостинице не является натуральным доходом участников? По моему мнению, оплачивая проезд и проживание организатор конференции, выражает  свои интересы! Он является инициатором совм</w:t>
      </w:r>
      <w:r>
        <w:rPr>
          <w:rFonts w:ascii="Times New Roman" w:hAnsi="Times New Roman" w:eastAsia="Times New Roman" w:cs="Times New Roman"/>
          <w:color w:val="000000"/>
          <w:sz w:val="36"/>
        </w:rPr>
        <w:t xml:space="preserve">естного обсуждения, заявленного в программе конференции, в его интересах привлечь аудиторию для получения дохода от оказания информационных услуг, а также возможность осуществлять свою уставную деятельность. (Если участникам (в т ч иностранцу?) придется де</w:t>
      </w:r>
      <w:r>
        <w:rPr>
          <w:rFonts w:ascii="Times New Roman" w:hAnsi="Times New Roman" w:eastAsia="Times New Roman" w:cs="Times New Roman"/>
          <w:color w:val="000000"/>
          <w:sz w:val="36"/>
        </w:rPr>
        <w:t xml:space="preserve">кларировать эти доходы, т.к.  при отсутствии выплат возможности удержать НДФЛ  у НКО  нет – никто больше не поедет в Москву!)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Можно в качестве аргумента привести, например,  письма ФНС от 2011 г. № КЕ-3-3/926; от 03.09.2012 № ОА-4-13/14633?  Письма Минфина в общем случае также подтверждают, что оплата  организацией за налогоплательщика  товаров (работ, услуг) НЕ в интересах этого</w:t>
      </w:r>
      <w:r>
        <w:rPr>
          <w:rFonts w:ascii="Times New Roman" w:hAnsi="Times New Roman" w:eastAsia="Times New Roman" w:cs="Times New Roman"/>
          <w:color w:val="000000"/>
          <w:sz w:val="36"/>
        </w:rPr>
        <w:t xml:space="preserve"> лица, не признается доходом,  полученным этим налогоплательщиком в натуральной форме. 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Вопрос 2.2.  НКО оплачивает также   вознаграждение лекторам на конференции. В Договор ГПХ с лектором включен пункт: Заказчик   оплачивает Исполнителю расходы, связанные с выполнением обязательств по договору – проезд,  проживание (гостиница).   Данные расх</w:t>
      </w:r>
      <w:r>
        <w:rPr>
          <w:rFonts w:ascii="Times New Roman" w:hAnsi="Times New Roman" w:eastAsia="Times New Roman" w:cs="Times New Roman"/>
          <w:color w:val="000000"/>
          <w:sz w:val="36"/>
        </w:rPr>
        <w:t xml:space="preserve">оды производятся приглашающей организацией  в своих интересах для обеспечения участия Исполнителя в Мероприятии».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В этом случае, можно руководствоваться , например, Письмом ФНС России от 23.06.2022 № БС-15-11/71@, в котором  рассматривается аналогичная ситуация?? 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Мнение фискалов: «Если  оплата организацией за физических лиц, являющихся исполнителями  по гражданско-правовым договорам, стоимости проезда  к месту оказания услуг и обратно, проживания и ПИТАНИЯ в месте оказания услуг, производимых исключительно в интере</w:t>
      </w:r>
      <w:r>
        <w:rPr>
          <w:rFonts w:ascii="Times New Roman" w:hAnsi="Times New Roman" w:eastAsia="Times New Roman" w:cs="Times New Roman"/>
          <w:color w:val="000000"/>
          <w:sz w:val="36"/>
        </w:rPr>
        <w:t xml:space="preserve">сах данной организации для достижения указанных целей, Не признается доходом, полученным Исполнителями по гражданско-правовым Договорам в натуральной форме»  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0" w:right="0" w:firstLine="708"/>
        <w:jc w:val="both"/>
        <w:spacing w:after="0"/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3. НКО поручает техническому подрядчику организовать конференцию «Под ключ», в том числе в перечне услуг предусмотрена оплата проезда, проживания и  питания участников конференции.  В случае, если данные выплаты будут признаны в интересах участников – в об</w:t>
      </w:r>
      <w:r>
        <w:rPr>
          <w:rFonts w:ascii="Times New Roman" w:hAnsi="Times New Roman" w:eastAsia="Times New Roman" w:cs="Times New Roman"/>
          <w:color w:val="000000"/>
          <w:sz w:val="36"/>
        </w:rPr>
        <w:t xml:space="preserve">язанности  подрядчика входит  выполнение обязанности  налогового агента  и сообщение   в  ФНС о полученном участниками натуральном доходе?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</w:r>
    </w:p>
    <w:p>
      <w:pPr>
        <w:ind w:left="0" w:right="0" w:firstLine="0"/>
        <w:jc w:val="both"/>
        <w:spacing w:after="0"/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36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</w:r>
    </w:p>
    <w:p>
      <w:pPr>
        <w:ind w:left="0" w:right="0" w:firstLine="708"/>
        <w:jc w:val="both"/>
        <w:spacing w:after="0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  <w:highlight w:val="none"/>
        </w:rPr>
        <w:t xml:space="preserve">9. Дмитрий Владимирович К.</w:t>
      </w:r>
      <w:r>
        <w:rPr>
          <w:b/>
          <w:bCs/>
        </w:rPr>
      </w:r>
      <w:r>
        <w:rPr>
          <w:b/>
          <w:bCs/>
        </w:rPr>
      </w:r>
    </w:p>
    <w:p>
      <w:pPr>
        <w:ind w:left="720" w:right="0" w:firstLine="0"/>
        <w:spacing w:after="0"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</w:r>
      <w:r>
        <w:rPr>
          <w:rFonts w:ascii="Times New Roman" w:hAnsi="Times New Roman" w:eastAsia="Times New Roman" w:cs="Times New Roman"/>
          <w:b/>
          <w:color w:val="ff0000"/>
          <w:sz w:val="36"/>
          <w:u w:val="none"/>
        </w:rPr>
        <w:t xml:space="preserve">НЕВЕРОВ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36"/>
          <w:highlight w:val="none"/>
        </w:rPr>
        <w:t xml:space="preserve">росим выразить профессиональное суждение (экспертное мнение) в отношении возможности распоряжения (расходования) имуществом(а) учредителя, переданным частному учреждению (как формы унитарной некоммерческой организации согласно ст. 123.21, 123.23) - закрепл</w:t>
      </w:r>
      <w:r>
        <w:rPr>
          <w:rFonts w:ascii="Times New Roman" w:hAnsi="Times New Roman" w:eastAsia="Times New Roman" w:cs="Times New Roman"/>
          <w:color w:val="000000"/>
          <w:sz w:val="36"/>
          <w:highlight w:val="none"/>
        </w:rPr>
        <w:t xml:space="preserve">енным за ним на праве оперативного управления (согласно ст. 296 и п.1 ст. 298 ГК РФ).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highlight w:val="none"/>
        </w:rPr>
        <w:t xml:space="preserve">Ка</w:t>
      </w:r>
      <w:r>
        <w:rPr>
          <w:rFonts w:ascii="Times New Roman" w:hAnsi="Times New Roman" w:eastAsia="Times New Roman" w:cs="Times New Roman"/>
          <w:color w:val="000000"/>
          <w:sz w:val="36"/>
          <w:highlight w:val="none"/>
        </w:rPr>
        <w:t xml:space="preserve">к следует из разъяснений Минфина России, передача учредителем созданному им учреждению имущества, закрепляемого за этим учреждением на праве оперативного управления, операциями по реализации товаров не признается и, соответственно, объектом налогообложения</w:t>
      </w:r>
      <w:r>
        <w:rPr>
          <w:rFonts w:ascii="Times New Roman" w:hAnsi="Times New Roman" w:eastAsia="Times New Roman" w:cs="Times New Roman"/>
          <w:color w:val="000000"/>
          <w:sz w:val="36"/>
          <w:highlight w:val="none"/>
        </w:rPr>
        <w:t xml:space="preserve"> налогом на добавленную стоимость не является согласно подпункту 1 пункта 1 статьи 146 Налогового кодекса РФ (далее – НК РФ) и пункту 1 статьи 39 НК РФ.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36"/>
          <w:highlight w:val="none"/>
        </w:rPr>
        <w:t xml:space="preserve">месте с тем с точки зрения наступления возможных налоговых рисков и негативных последствий для обеих сторон (как для частного учреждения, так и для его учредителя) операции по обращению (распоряжению, отчуждению) с имуществом (в части расходных материалов </w:t>
      </w:r>
      <w:r>
        <w:rPr>
          <w:rFonts w:ascii="Times New Roman" w:hAnsi="Times New Roman" w:eastAsia="Times New Roman" w:cs="Times New Roman"/>
          <w:color w:val="000000"/>
          <w:sz w:val="36"/>
          <w:highlight w:val="none"/>
        </w:rPr>
        <w:t xml:space="preserve">и сырья) учредителя с учетом целевой направленности его дальнейшего использования (их реализации) частным учреждением, а именно, возникают ли налоговые последствия в части начисления НДС и налога на прибыль организаций у обеих сторон, в случаях если: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highlight w:val="none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36"/>
          <w:highlight w:val="none"/>
        </w:rPr>
        <w:t xml:space="preserve">. имущество, закреплённое учредителем за частным учреждением на праве оперативного управления, будет (должно быть) реализовано другим лицам (работникам учредителя либо использовано при оказании услуг учредителю) с согласия учредителя без предварительного п</w:t>
      </w:r>
      <w:r>
        <w:rPr>
          <w:rFonts w:ascii="Times New Roman" w:hAnsi="Times New Roman" w:eastAsia="Times New Roman" w:cs="Times New Roman"/>
          <w:color w:val="000000"/>
          <w:sz w:val="36"/>
          <w:highlight w:val="none"/>
        </w:rPr>
        <w:t xml:space="preserve">рекращения права оперативного управления на него (например, продукты питания, сырье и полуфабрикаты для приготовления блюд, ГСМ, запасные части, и др. расходные материалы)?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highlight w:val="none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36"/>
          <w:highlight w:val="none"/>
        </w:rPr>
        <w:t xml:space="preserve">. имущество, предназначенное для реализации другим лицам (работникам учредителя либо использовано при оказании услуг учредителю) через частное учреждение, передается ему и закрепляется за ним учредителем на праве оперативного управления (с учетом нормы пп.</w:t>
      </w:r>
      <w:r>
        <w:rPr>
          <w:rFonts w:ascii="Times New Roman" w:hAnsi="Times New Roman" w:eastAsia="Times New Roman" w:cs="Times New Roman"/>
          <w:color w:val="000000"/>
          <w:sz w:val="36"/>
          <w:highlight w:val="none"/>
        </w:rPr>
        <w:t xml:space="preserve"> 2 п. 1 ст. 39 НК РФ)?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highlight w:val="none"/>
        </w:rPr>
      </w:r>
      <w:r/>
    </w:p>
    <w:p>
      <w:pPr>
        <w:ind w:left="0" w:right="0" w:firstLine="708"/>
        <w:jc w:val="both"/>
        <w:spacing w:after="0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</w:rPr>
        <w:t xml:space="preserve">10. Светлана М.</w:t>
      </w:r>
      <w:r>
        <w:rPr>
          <w:b/>
          <w:bCs/>
        </w:rPr>
      </w:r>
      <w:r>
        <w:rPr>
          <w:b/>
          <w:bCs/>
        </w:rPr>
      </w:r>
    </w:p>
    <w:p>
      <w:pPr>
        <w:ind w:left="283" w:right="0" w:firstLine="425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</w:r>
      <w:r>
        <w:rPr>
          <w:rFonts w:ascii="Times New Roman" w:hAnsi="Times New Roman" w:eastAsia="Times New Roman" w:cs="Times New Roman"/>
          <w:b/>
          <w:color w:val="00ff00"/>
          <w:sz w:val="36"/>
          <w:u w:val="none"/>
        </w:rPr>
        <w:t xml:space="preserve">ГАМОЛЬСКИЙ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СПЕЦИАЛИЗИРОВАННЫЙ ФОНД ЦЕЛЕВОГО КАПИТАЛА (Эндаумент) применяет упрощенную систему налогообложения. Основной вид экономической деятельности Эндаумента по ОКВЭД – 64.99 Предоставление прочих финансовых услуг, кроме услуг по страхованию и пенсионному обеспеч</w:t>
      </w:r>
      <w:r>
        <w:rPr>
          <w:rFonts w:ascii="Times New Roman" w:hAnsi="Times New Roman" w:eastAsia="Times New Roman" w:cs="Times New Roman"/>
          <w:color w:val="000000"/>
          <w:sz w:val="36"/>
        </w:rPr>
        <w:t xml:space="preserve">ению, не включенных в другие группировки.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Уставной целью Эндаумента является деятельность по формированию и пополнению целевого капитала, использования и распределения дохода от целевого капитала в пользу иных получателей дохода от целевого капитала, определяемых внутренними документами Фонда, осу</w:t>
      </w:r>
      <w:r>
        <w:rPr>
          <w:rFonts w:ascii="Times New Roman" w:hAnsi="Times New Roman" w:eastAsia="Times New Roman" w:cs="Times New Roman"/>
          <w:color w:val="000000"/>
          <w:sz w:val="36"/>
        </w:rPr>
        <w:t xml:space="preserve">ществляющих свою деятельность в сфере социальной помощи (поддержки), здравоохранения, науки, образования, оказания гражданам бесплатной юридической помощи и осуществления их правового просвещения.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В 2024 г. в Эндаументе 100% поступлений состояли из поступлений от вывода дохода от доверительного управления по договору доверительного управления. Полученные средства были перечислены Эндаументом в некоммерческий благотворительный фонд по договору пожерт</w:t>
      </w:r>
      <w:r>
        <w:rPr>
          <w:rFonts w:ascii="Times New Roman" w:hAnsi="Times New Roman" w:eastAsia="Times New Roman" w:cs="Times New Roman"/>
          <w:color w:val="000000"/>
          <w:sz w:val="36"/>
        </w:rPr>
        <w:t xml:space="preserve">вования на уставную деятельность, направленную на оказание социальной, материальной, финансовой, организационной и иной помощи в интересах детей, оставшихся без попечения родителей, детей, находящихся в трудной жизненной ситуации, детей с тяжелыми заболева</w:t>
      </w:r>
      <w:r>
        <w:rPr>
          <w:rFonts w:ascii="Times New Roman" w:hAnsi="Times New Roman" w:eastAsia="Times New Roman" w:cs="Times New Roman"/>
          <w:color w:val="000000"/>
          <w:sz w:val="36"/>
        </w:rPr>
        <w:t xml:space="preserve">ниями.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 В 2025 году Эндаументом был заключен трудовой договор с работником и осуществляются начисления и выплаты заработной платы, уплачиваются налоги и страховые взносы.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Вправе ли Эндаумент в 2025 г. применить единый пониженный тариф страховых взносов в размере 7,6 % в соответствии с пунктом 7 статьи 427 Налогового кодекса Российской Федерации?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0" w:right="0" w:firstLine="708"/>
        <w:jc w:val="both"/>
        <w:spacing w:after="0"/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</w:rPr>
        <w:t xml:space="preserve">11. </w:t>
      </w: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</w:rPr>
        <w:t xml:space="preserve">Наталья Ф.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</w:r>
    </w:p>
    <w:p>
      <w:pPr>
        <w:ind w:left="720" w:right="0" w:firstLine="0"/>
        <w:spacing w:after="0"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</w:r>
      <w:r>
        <w:rPr>
          <w:rFonts w:ascii="Times New Roman" w:hAnsi="Times New Roman" w:eastAsia="Times New Roman" w:cs="Times New Roman"/>
          <w:b/>
          <w:color w:val="ff0000"/>
          <w:sz w:val="36"/>
          <w:u w:val="none"/>
        </w:rPr>
        <w:t xml:space="preserve">НЕВЕРОВ</w:t>
      </w:r>
      <w:r/>
    </w:p>
    <w:p>
      <w:pPr>
        <w:ind w:left="0" w:right="0" w:firstLine="708"/>
        <w:jc w:val="both"/>
        <w:spacing w:after="0"/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  <w:t xml:space="preserve">Если на АНО перевести здание, то валюта баланса становится более 400 млн. руб. и организация будет подлежать обязательному аудиту. Можно ли как то избежать аудит?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</w:r>
    </w:p>
    <w:p>
      <w:pPr>
        <w:ind w:left="0" w:right="0" w:firstLine="708"/>
        <w:jc w:val="both"/>
        <w:spacing w:after="0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14:ligatures w14:val="none"/>
        </w:rPr>
      </w:r>
    </w:p>
    <w:p>
      <w:pPr>
        <w:ind w:left="0" w:right="0" w:firstLine="708"/>
        <w:jc w:val="both"/>
        <w:spacing w:after="0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</w:rPr>
        <w:t xml:space="preserve">12. </w:t>
      </w: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</w:rPr>
        <w:t xml:space="preserve">Ирина Витальевна Т.</w:t>
      </w: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  <w14:ligatures w14:val="none"/>
        </w:rPr>
      </w:r>
    </w:p>
    <w:p>
      <w:pPr>
        <w:ind w:left="283" w:right="0" w:firstLine="425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</w:r>
      <w:r>
        <w:rPr>
          <w:rFonts w:ascii="Times New Roman" w:hAnsi="Times New Roman" w:eastAsia="Times New Roman" w:cs="Times New Roman"/>
          <w:b/>
          <w:color w:val="00ff00"/>
          <w:sz w:val="36"/>
          <w:u w:val="none"/>
        </w:rPr>
        <w:t xml:space="preserve">ГАМОЛЬСКИЙ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  <w:t xml:space="preserve">Просим рассмотреть вопрос о налогообложении субсидий. Есть ли судебная практика по данному вопросу?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  <w:t xml:space="preserve">астное учреждение "Х" (ЧУ) является социально ориентированной некоммерческой организацией, не имеющей извлечение прибыли в качестве основной цели своей деятельности, и оказывает социальные услуги в форме социального обслуживания на дому. Применяет УСН с об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  <w:t xml:space="preserve">ъ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  <w:t xml:space="preserve">ектом налогообложения «Доходы». ОКВЭД2 88.99 - предоставление прочих социальных услуг без обеспечения проживания, не включенных в другие группировки. Организация включена в реестр исполнителей общественно полезных услуг и в реестр поставщиков социальных ус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  <w:t xml:space="preserve">луг Челябинской области.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  <w:t xml:space="preserve">ЧУ получает следующие виды субсидий из бюджета: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  <w:t xml:space="preserve">. В соответствии с Постановлением Правительства Челябинской области от 20.01.2025г. № 36-П «О в Порядке предоставления в 2025 году субсидий некоммерческим организациям (за исключением областных государственных учреждений) на создание системы долговременног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  <w:t xml:space="preserve"> ухода за гражданами пожилого возраста и инвалидами за счет средств областного бюджета» ЧУ получает субсидию в целях реализации государственной программы Челябинской области «Развитие социальной защиты населения в Челябинской области», утвержденной постано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  <w:t xml:space="preserve">лением Правительства Челябинской области от 17.12.2020 г. № 689-П «О государственной программе Челябинской области «Развитие социальной защиты населения в Челябинской области», на создание системы долговременного ухода за гражданами пожилого возраста и инв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  <w:t xml:space="preserve">лидами за счет средств областного бюджета. Способ предоставления субсидий - возмещение затрат на создание системы долговременного ухода за гражданами пожилого возраста и инвалидами. Заключается с Министерством социальных отношений Челябинской области Согла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  <w:t xml:space="preserve">ш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  <w:t xml:space="preserve">ение о предоставлении из Бюджета Челябинской области субсидий, некоммерческим организациям (за исключением областных государственных учреждений), которые включены в реестр поставщиков социальных услуг Челябинской области, на возмещение затрат на создание с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  <w:t xml:space="preserve">истемы долговременного ухода за гражданами пожилого возраста и инвалидами. 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  <w:t xml:space="preserve">. В соответствии с Порядком предоставления субсидий из бюджета города Магнитогорска в целях возмещения затрат исполнения муниципального социального заказа на оказание муниципальных услуг в социальной сфере в соответствии с социальным сертификатом на получе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  <w:t xml:space="preserve">ие муниципальной услуги в социальной сфере, утвержденным постановлением администрации города от 26.12.2022г. N 14233, заключено Соглашение о возмещении затрат исполнения муниципального социального заказа на оказание муниципальных услуг в социальной сфере в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  <w:t xml:space="preserve">соответствии с социальным сертификатом на получение муниципальной услуги в социальной сфере между Управлением социальной защиты населения администрации города Магнитогорска и ЧУ. Субсидия предоставляется в целях оказания муниципальных услуг в социальной сф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  <w:t xml:space="preserve">ере в соответствии с сертификатами: Предоставление социального обслуживания в форме на дому.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  <w:t xml:space="preserve">. В соответствии с Порядком определения объема и предоставления в 2024 г. субсидий социально ориентированным некоммерческим организациям Челябинской области на финансовое обеспечение затрат на осуществление деятельности по реализации социально значимых про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  <w:t xml:space="preserve">г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  <w:t xml:space="preserve">рамм (проектов), утвержденным постановлением Правительства Челябинской области от 08.05.2024 г. № 300-П, Министерство социальных отношений Челябинской области и ЧУ заключили Соглашение о предоставление из областного бюджета субсидии на финансовое обеспечен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  <w:t xml:space="preserve">е затрат на осуществление деятельности по реализации социально значимых программ (проектов) в целях достижения результата комплекса процессных мероприятий «Повышение эффективности государственной поддержки социально ориентированных некоммерческих организац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  <w:t xml:space="preserve">й» государственной программы Челябинской области «Развитие социальной защиты населения в Челябинской области», утвержденной постановлением Правительства Челябинской области от 17.12.2020 г. № 689-П «О государственной программе Челябинской области «Развитие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  <w:t xml:space="preserve"> социальной защиты населения в Челябинской области» и в целях реализации Получателем мероприятий социально значимой программы (проекта) «Клуб активного долголетия «Сохранись».</w:t>
      </w:r>
      <w:r/>
    </w:p>
    <w:p>
      <w:pPr>
        <w:ind w:left="0" w:right="0" w:firstLine="708"/>
        <w:jc w:val="both"/>
        <w:spacing w:after="0"/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  <w:t xml:space="preserve">Включается ли в налогооблагаемую базу по УСН указанные субсидии или они не учитывается в доходах по УСН на основании статьи 251 НК РФ.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</w:r>
    </w:p>
    <w:p>
      <w:pPr>
        <w:ind w:left="0" w:right="0" w:firstLine="708"/>
        <w:jc w:val="both"/>
        <w:spacing w:after="0"/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</w:r>
    </w:p>
    <w:p>
      <w:pPr>
        <w:ind w:left="0" w:right="0" w:firstLine="708"/>
        <w:jc w:val="both"/>
        <w:spacing w:after="0"/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14:ligatures w14:val="none"/>
        </w:rPr>
        <w:t xml:space="preserve">13. </w:t>
      </w: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  <w14:ligatures w14:val="none"/>
        </w:rPr>
        <w:t xml:space="preserve">Ольга Евгеньевна Г. 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</w:r>
    </w:p>
    <w:p>
      <w:pPr>
        <w:ind w:left="283" w:right="0" w:firstLine="425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</w:r>
      <w:r>
        <w:rPr>
          <w:rFonts w:ascii="Times New Roman" w:hAnsi="Times New Roman" w:eastAsia="Times New Roman" w:cs="Times New Roman"/>
          <w:b/>
          <w:color w:val="00ff00"/>
          <w:sz w:val="36"/>
          <w:u w:val="none"/>
        </w:rPr>
        <w:t xml:space="preserve">ГАМОЛЬСКИЙ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  <w:t xml:space="preserve">Наш благотворительный фонд планирует приобретение легкового автомобиля для перевозок продукции в детские дома и интернаты, которым наш фонд оказывает пожертвования в рамках уставной деятельности. Водителя в штате пока нет, и директор сам будет развозить.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  <w:t xml:space="preserve">Вопрос: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  <w:t xml:space="preserve">1. Может ли стоимость автомобиля превышать 20% (процент всех административно-управленческих расходов) от всех поступивших пожертвований?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  <w:t xml:space="preserve">2. Как можно оформить водителем кого-то из сотрудников фонда?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  <w:t xml:space="preserve">3. Какие особенности при ведении бухгалтерского учета по постановке на учет, по использованию легкового автомобиля в Благотворительном фонде?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  <w:t xml:space="preserve">4. какие расходы нам следует заложить в Смету в связи с этим (налог на транспорт, ГСМ, страховки, техосмотр и что еще)?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  <w:t xml:space="preserve">5. Нужно ли выписывать путевые листы, и если да, то какой формы, как часто?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  <w:t xml:space="preserve">6. Нужно ли проходить мед. осмотр и если да, то как это должно быть организовано?</w:t>
      </w:r>
      <w:r/>
    </w:p>
    <w:p>
      <w:pPr>
        <w:ind w:left="0" w:right="0" w:firstLine="708"/>
        <w:jc w:val="both"/>
        <w:spacing w:after="0"/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  <w:t xml:space="preserve">7. Как еще у нас возникнут обязательства у фонда?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Liberation Sans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Юлия Смирнова</cp:lastModifiedBy>
  <cp:revision>5</cp:revision>
  <dcterms:modified xsi:type="dcterms:W3CDTF">2025-08-21T06:56:58Z</dcterms:modified>
</cp:coreProperties>
</file>