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6C6F" w:rsidRDefault="00BD6C6F" w:rsidP="00BD6C6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color w:val="000000"/>
          <w:sz w:val="36"/>
        </w:rPr>
      </w:pPr>
      <w:r w:rsidRPr="00BD6C6F">
        <w:rPr>
          <w:rFonts w:ascii="Times New Roman" w:eastAsia="Times New Roman" w:hAnsi="Times New Roman" w:cs="Times New Roman"/>
          <w:b/>
          <w:color w:val="000000"/>
          <w:sz w:val="36"/>
        </w:rPr>
        <w:t xml:space="preserve">Материалы П.Ю. Гамольского </w:t>
      </w:r>
    </w:p>
    <w:p w:rsidR="0009578E" w:rsidRPr="00BD6C6F" w:rsidRDefault="00BD6C6F" w:rsidP="00BD6C6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color w:val="000000"/>
          <w:sz w:val="36"/>
        </w:rPr>
      </w:pPr>
      <w:r w:rsidRPr="00BD6C6F">
        <w:rPr>
          <w:rFonts w:ascii="Times New Roman" w:eastAsia="Times New Roman" w:hAnsi="Times New Roman" w:cs="Times New Roman"/>
          <w:b/>
          <w:color w:val="000000"/>
          <w:sz w:val="36"/>
        </w:rPr>
        <w:t xml:space="preserve">к вебинару </w:t>
      </w:r>
      <w:r w:rsidR="00000000">
        <w:rPr>
          <w:rFonts w:ascii="Times New Roman" w:eastAsia="Times New Roman" w:hAnsi="Times New Roman" w:cs="Times New Roman"/>
          <w:b/>
          <w:color w:val="000000"/>
          <w:sz w:val="36"/>
        </w:rPr>
        <w:t>1 июля 2025 г. (вторник)</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36"/>
        </w:rPr>
        <w:t> </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4. Дмитрий Владимирович К.</w:t>
      </w:r>
    </w:p>
    <w:p w:rsidR="00D04EB9" w:rsidRDefault="00D04EB9" w:rsidP="00BD6C6F">
      <w:pPr>
        <w:pBdr>
          <w:top w:val="none" w:sz="4" w:space="0" w:color="000000"/>
          <w:left w:val="none" w:sz="4" w:space="0" w:color="000000"/>
          <w:bottom w:val="none" w:sz="4" w:space="0" w:color="000000"/>
          <w:right w:val="none" w:sz="4" w:space="0" w:color="000000"/>
        </w:pBdr>
        <w:spacing w:after="0" w:line="240" w:lineRule="auto"/>
        <w:jc w:val="both"/>
      </w:pP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b/>
          <w:color w:val="00FF00"/>
          <w:sz w:val="36"/>
        </w:rPr>
        <w:t>ГАМОЛЬСКИЙ</w:t>
      </w:r>
    </w:p>
    <w:p w:rsidR="00D04EB9" w:rsidRDefault="00D04EB9"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Прошу выразить профессиональное суждение (экспертное мнение) в отношении формирования учетной политики и ведению учета, а также распоряжению имуществом  применительно к частному учреждению (как формы унитарной некоммерческой организации согласно ст. 123.21, 123.23, ст. 296 и ст. 298 ГК РФ).</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u w:val="single"/>
        </w:rPr>
        <w:t>Предметная область вопроса:</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Учредитель является собственником имущества созданного им учреждения. На имущество, закрепленное собственником за учреждением </w:t>
      </w:r>
      <w:r>
        <w:rPr>
          <w:rFonts w:ascii="Times New Roman" w:eastAsia="Times New Roman" w:hAnsi="Times New Roman" w:cs="Times New Roman"/>
          <w:b/>
          <w:color w:val="000000"/>
          <w:sz w:val="36"/>
          <w:u w:val="single"/>
        </w:rPr>
        <w:t>и приобретенное учреждением по иным основаниям,</w:t>
      </w:r>
      <w:r>
        <w:rPr>
          <w:rFonts w:ascii="Times New Roman" w:eastAsia="Times New Roman" w:hAnsi="Times New Roman" w:cs="Times New Roman"/>
          <w:color w:val="000000"/>
          <w:sz w:val="36"/>
        </w:rPr>
        <w:t> оно приобретает право оперативного управления в соответствии с Гражданским </w:t>
      </w:r>
      <w:hyperlink r:id="rId7" w:tooltip="https://login.consultant.ru/link/?req=doc&amp;base=LAW&amp;n=482692&amp;dst=37&amp;field=134&amp;date=29.06.2025" w:history="1">
        <w:r>
          <w:rPr>
            <w:rStyle w:val="af"/>
            <w:rFonts w:ascii="Times New Roman" w:eastAsia="Times New Roman" w:hAnsi="Times New Roman" w:cs="Times New Roman"/>
            <w:color w:val="0563C1"/>
            <w:sz w:val="36"/>
            <w:u w:val="none"/>
          </w:rPr>
          <w:t>Кодексом</w:t>
        </w:r>
      </w:hyperlink>
      <w:r>
        <w:rPr>
          <w:rFonts w:ascii="Times New Roman" w:eastAsia="Times New Roman" w:hAnsi="Times New Roman" w:cs="Times New Roman"/>
          <w:color w:val="000000"/>
          <w:sz w:val="36"/>
        </w:rPr>
        <w:t>. (ст.123.21 ГК РФ).</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36"/>
        </w:rPr>
        <w:t>       Частное учреждение (ЧУ) полностью или частично финансируется собственником его имущества (ст.123.23 ГК РФ).</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36"/>
        </w:rPr>
        <w:t>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(ст. 296 ГК РФ).</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lastRenderedPageBreak/>
        <w:t>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(ст. 298 ГК РФ)</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36"/>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 (ст. 298 ГК РФ).</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Имеется правоприменительная практика в отношении правильности толкования вышеуказанных совокупных норм ГК РФ (Решение Арбитражного суда Московской области от 08.11.2017 по делу № А41-43299/17).</w:t>
      </w:r>
    </w:p>
    <w:p w:rsidR="00D04EB9"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Как следует из мотивировочной части указанного судебного решения:</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"В этой связи правовой режим доходов, от ПДД ЧУ в закрепленном за ним на праве оперативного управления имущества, должен решаться по правилам </w:t>
      </w:r>
      <w:hyperlink r:id="rId8" w:tooltip="https://login.consultant.ru/link/?req=doc&amp;base=LAW&amp;n=220995&amp;date=29.06.2025" w:history="1">
        <w:r>
          <w:rPr>
            <w:rStyle w:val="af"/>
            <w:rFonts w:ascii="Times New Roman" w:eastAsia="Times New Roman" w:hAnsi="Times New Roman" w:cs="Times New Roman"/>
            <w:color w:val="0563C1"/>
            <w:sz w:val="36"/>
            <w:u w:val="none"/>
          </w:rPr>
          <w:t>ГК</w:t>
        </w:r>
      </w:hyperlink>
      <w:r>
        <w:rPr>
          <w:rFonts w:ascii="Times New Roman" w:eastAsia="Times New Roman" w:hAnsi="Times New Roman" w:cs="Times New Roman"/>
          <w:color w:val="000000"/>
          <w:sz w:val="36"/>
        </w:rPr>
        <w:t> РФ, определяющим правовой режим доходов, полученных частным учреждением от приносящей доход деятельности.</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36"/>
        </w:rPr>
        <w:t>       Таким образом, в силу указанной нормы права доходы, полученные ЧУ от ПДД за счет</w:t>
      </w:r>
      <w:r w:rsidR="00D04EB9">
        <w:rPr>
          <w:rFonts w:ascii="Times New Roman" w:eastAsia="Times New Roman" w:hAnsi="Times New Roman" w:cs="Times New Roman"/>
          <w:color w:val="000000"/>
          <w:sz w:val="36"/>
        </w:rPr>
        <w:t xml:space="preserve"> </w:t>
      </w:r>
      <w:r>
        <w:rPr>
          <w:rFonts w:ascii="Times New Roman" w:eastAsia="Times New Roman" w:hAnsi="Times New Roman" w:cs="Times New Roman"/>
          <w:color w:val="000000"/>
          <w:sz w:val="36"/>
        </w:rPr>
        <w:t>использования  закрепленного за ним на праве оперативного управления имущества, принадлежат ему на праве самостоятельного распоряжения, т.е. могут использоваться им без согласия собственника соответствующего имущества для осуществления предусмотренных уставом функций.</w:t>
      </w:r>
    </w:p>
    <w:p w:rsid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u w:val="single"/>
        </w:rPr>
      </w:pP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u w:val="single"/>
        </w:rPr>
        <w:t>Вопросы</w:t>
      </w:r>
      <w:r>
        <w:rPr>
          <w:rFonts w:ascii="Times New Roman" w:eastAsia="Times New Roman" w:hAnsi="Times New Roman" w:cs="Times New Roman"/>
          <w:color w:val="000000"/>
          <w:sz w:val="36"/>
        </w:rPr>
        <w:t>:</w:t>
      </w:r>
    </w:p>
    <w:p w:rsidR="00D04EB9"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1. в соответствии с п.2 статьи 8 Федеральный закон от 06.12.2011 № 402-ФЗ "О бухгалтерском учете" "экономический субъект </w:t>
      </w:r>
      <w:r>
        <w:rPr>
          <w:rFonts w:ascii="Times New Roman" w:eastAsia="Times New Roman" w:hAnsi="Times New Roman" w:cs="Times New Roman"/>
          <w:color w:val="000000"/>
          <w:sz w:val="36"/>
          <w:u w:val="single"/>
        </w:rPr>
        <w:t>самостоятельно </w:t>
      </w:r>
      <w:r>
        <w:rPr>
          <w:rFonts w:ascii="Times New Roman" w:eastAsia="Times New Roman" w:hAnsi="Times New Roman" w:cs="Times New Roman"/>
          <w:color w:val="000000"/>
          <w:sz w:val="36"/>
        </w:rPr>
        <w:t xml:space="preserve">формирует свою </w:t>
      </w:r>
      <w:r>
        <w:rPr>
          <w:rFonts w:ascii="Times New Roman" w:eastAsia="Times New Roman" w:hAnsi="Times New Roman" w:cs="Times New Roman"/>
          <w:color w:val="000000"/>
          <w:sz w:val="36"/>
        </w:rPr>
        <w:lastRenderedPageBreak/>
        <w:t>учетную политику, руководствуясь </w:t>
      </w:r>
      <w:hyperlink r:id="rId9" w:tooltip="https://login.consultant.ru/link/?req=doc&amp;base=LAW&amp;n=71763&amp;dst=100001&amp;field=134&amp;date=29.06.2025" w:history="1">
        <w:r>
          <w:rPr>
            <w:rStyle w:val="af"/>
            <w:rFonts w:ascii="Times New Roman" w:eastAsia="Times New Roman" w:hAnsi="Times New Roman" w:cs="Times New Roman"/>
            <w:color w:val="0563C1"/>
            <w:sz w:val="36"/>
            <w:u w:val="none"/>
          </w:rPr>
          <w:t>законодательством</w:t>
        </w:r>
      </w:hyperlink>
      <w:r>
        <w:rPr>
          <w:rFonts w:ascii="Times New Roman" w:eastAsia="Times New Roman" w:hAnsi="Times New Roman" w:cs="Times New Roman"/>
          <w:color w:val="000000"/>
          <w:sz w:val="36"/>
        </w:rPr>
        <w:t> Российской Федерации о бухгалтерском учете, федеральными и отраслевыми стандартами".</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Учредитель ЧУ являясь банковским учреждением (формирует свою УП по правилам отличным для иных хозяйствующих субъектов, в частности НКО) полагает, что абсолютно все имущество ЧУ </w:t>
      </w:r>
      <w:r>
        <w:rPr>
          <w:rFonts w:ascii="Times New Roman" w:eastAsia="Times New Roman" w:hAnsi="Times New Roman" w:cs="Times New Roman"/>
          <w:b/>
          <w:color w:val="000000"/>
          <w:sz w:val="36"/>
          <w:u w:val="single"/>
        </w:rPr>
        <w:t>приобретенное им по иным основаниям </w:t>
      </w:r>
      <w:r>
        <w:rPr>
          <w:rFonts w:ascii="Times New Roman" w:eastAsia="Times New Roman" w:hAnsi="Times New Roman" w:cs="Times New Roman"/>
          <w:color w:val="000000"/>
          <w:sz w:val="36"/>
        </w:rPr>
        <w:t>автоматически закрепляется за ЧУ </w:t>
      </w:r>
      <w:r>
        <w:rPr>
          <w:rFonts w:ascii="Times New Roman" w:eastAsia="Times New Roman" w:hAnsi="Times New Roman" w:cs="Times New Roman"/>
          <w:b/>
          <w:color w:val="000000"/>
          <w:sz w:val="36"/>
          <w:u w:val="single"/>
        </w:rPr>
        <w:t>только </w:t>
      </w:r>
      <w:r>
        <w:rPr>
          <w:rFonts w:ascii="Times New Roman" w:eastAsia="Times New Roman" w:hAnsi="Times New Roman" w:cs="Times New Roman"/>
          <w:color w:val="000000"/>
          <w:sz w:val="36"/>
        </w:rPr>
        <w:t>на праве оперативного управления и требует получение обязательного согласия на распоряжение всем имуществом, включая приобретенным за счет доходов от ПДД ЧУ (в силу ст. 123.21 ГК) и отражается в бухгалтерском учете ЧУ по правилам и стандартам, определенным в УП Учредителя (банк).</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i/>
          <w:color w:val="000000"/>
          <w:sz w:val="36"/>
        </w:rPr>
        <w:t>(?) Вправе ли ЧУ руководствоваться исключительно позицией Учредителя (банк) при синхронизации текстов УП, в том числе по учету имущества, приобретенного за счет доходов от ПДД.</w:t>
      </w:r>
    </w:p>
    <w:p w:rsidR="00D04EB9" w:rsidRDefault="00D04EB9"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2. в соответствии со ст. 256 НК РФ:</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1. 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w:t>
      </w:r>
      <w:r>
        <w:rPr>
          <w:rFonts w:ascii="Times New Roman" w:eastAsia="Times New Roman" w:hAnsi="Times New Roman" w:cs="Times New Roman"/>
          <w:b/>
          <w:color w:val="000000"/>
          <w:sz w:val="36"/>
          <w:u w:val="single"/>
        </w:rPr>
        <w:t>на праве собственности</w:t>
      </w:r>
      <w:r>
        <w:rPr>
          <w:rFonts w:ascii="Times New Roman" w:eastAsia="Times New Roman" w:hAnsi="Times New Roman" w:cs="Times New Roman"/>
          <w:color w:val="000000"/>
          <w:sz w:val="36"/>
        </w:rPr>
        <w:t> (если иное не предусмотрено главой 25 НК РФ) и используются им для извлечения дохода.</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Амортизируемое имущество, полученное </w:t>
      </w:r>
      <w:r>
        <w:rPr>
          <w:rFonts w:ascii="Times New Roman" w:eastAsia="Times New Roman" w:hAnsi="Times New Roman" w:cs="Times New Roman"/>
          <w:color w:val="000000"/>
          <w:sz w:val="36"/>
          <w:u w:val="single"/>
        </w:rPr>
        <w:t>унитарным предприятием</w:t>
      </w:r>
      <w:r>
        <w:rPr>
          <w:rFonts w:ascii="Times New Roman" w:eastAsia="Times New Roman" w:hAnsi="Times New Roman" w:cs="Times New Roman"/>
          <w:color w:val="000000"/>
          <w:sz w:val="36"/>
        </w:rPr>
        <w:t> от собственника имущества унитарного предприятия в оперативное управление или хозяйственное ведение, подлежит </w:t>
      </w:r>
      <w:hyperlink r:id="rId10" w:tooltip="https://login.consultant.ru/link/?req=doc&amp;base=LAW&amp;n=479371&amp;dst=100010&amp;field=134&amp;date=29.06.2025" w:history="1">
        <w:r>
          <w:rPr>
            <w:rStyle w:val="af"/>
            <w:rFonts w:ascii="Times New Roman" w:eastAsia="Times New Roman" w:hAnsi="Times New Roman" w:cs="Times New Roman"/>
            <w:color w:val="0563C1"/>
            <w:sz w:val="36"/>
            <w:u w:val="none"/>
          </w:rPr>
          <w:t>амортизации</w:t>
        </w:r>
      </w:hyperlink>
      <w:r>
        <w:rPr>
          <w:rFonts w:ascii="Times New Roman" w:eastAsia="Times New Roman" w:hAnsi="Times New Roman" w:cs="Times New Roman"/>
          <w:color w:val="000000"/>
          <w:sz w:val="36"/>
        </w:rPr>
        <w:t> </w:t>
      </w:r>
      <w:r>
        <w:rPr>
          <w:rFonts w:ascii="Times New Roman" w:eastAsia="Times New Roman" w:hAnsi="Times New Roman" w:cs="Times New Roman"/>
          <w:b/>
          <w:color w:val="000000"/>
          <w:sz w:val="36"/>
          <w:u w:val="single"/>
        </w:rPr>
        <w:t>у данного унитарного предприятия</w:t>
      </w:r>
      <w:r>
        <w:rPr>
          <w:rFonts w:ascii="Times New Roman" w:eastAsia="Times New Roman" w:hAnsi="Times New Roman" w:cs="Times New Roman"/>
          <w:color w:val="000000"/>
          <w:sz w:val="36"/>
        </w:rPr>
        <w:t> в порядке, установленном главой 25 НК РФ.</w:t>
      </w:r>
    </w:p>
    <w:p w:rsidR="0009578E" w:rsidRDefault="00000000" w:rsidP="00D04EB9">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i/>
          <w:color w:val="000000"/>
          <w:sz w:val="36"/>
        </w:rPr>
        <w:t xml:space="preserve">(?) Поскольку в силу вышеназванных норм ГК РФ имущество ЧУ не принадлежит ему на праве собственности (ст.296 ГК, ст.123.21 ГК) и не является </w:t>
      </w:r>
      <w:r>
        <w:rPr>
          <w:rFonts w:ascii="Times New Roman" w:eastAsia="Times New Roman" w:hAnsi="Times New Roman" w:cs="Times New Roman"/>
          <w:i/>
          <w:color w:val="000000"/>
          <w:sz w:val="36"/>
        </w:rPr>
        <w:lastRenderedPageBreak/>
        <w:t>унитарным предприятием (если это не тождественно понятию "унитарная НКО" в силу ст.123.21 ГК), правильно ли мы понимаем что амортизируемое имущество в целях налогообложения </w:t>
      </w:r>
      <w:r>
        <w:rPr>
          <w:rFonts w:ascii="Times New Roman" w:eastAsia="Times New Roman" w:hAnsi="Times New Roman" w:cs="Times New Roman"/>
          <w:b/>
          <w:i/>
          <w:color w:val="000000"/>
          <w:sz w:val="36"/>
          <w:u w:val="single"/>
        </w:rPr>
        <w:t>не подлежит </w:t>
      </w:r>
      <w:r>
        <w:rPr>
          <w:rFonts w:ascii="Times New Roman" w:eastAsia="Times New Roman" w:hAnsi="Times New Roman" w:cs="Times New Roman"/>
          <w:i/>
          <w:color w:val="000000"/>
          <w:sz w:val="36"/>
        </w:rPr>
        <w:t>амортизации у ЧУ.</w:t>
      </w:r>
    </w:p>
    <w:p w:rsidR="00BD6C6F" w:rsidRDefault="00BD6C6F" w:rsidP="00BD6C6F">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36"/>
        </w:rPr>
      </w:pPr>
    </w:p>
    <w:p w:rsidR="00BD6C6F" w:rsidRPr="00771E28"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
          <w:color w:val="000000"/>
          <w:sz w:val="28"/>
          <w:szCs w:val="28"/>
        </w:rPr>
      </w:pPr>
      <w:r w:rsidRPr="00BD6C6F">
        <w:rPr>
          <w:rFonts w:ascii="Times New Roman" w:eastAsia="Times New Roman" w:hAnsi="Times New Roman" w:cs="Times New Roman"/>
          <w:b/>
          <w:color w:val="000000"/>
          <w:sz w:val="28"/>
          <w:szCs w:val="28"/>
        </w:rPr>
        <w:t xml:space="preserve">"Гражданский кодекс Российской Федерации (часть первая)" от 30.11.1994 </w:t>
      </w:r>
      <w:r w:rsidR="00771E28">
        <w:rPr>
          <w:rFonts w:ascii="Times New Roman" w:eastAsia="Times New Roman" w:hAnsi="Times New Roman" w:cs="Times New Roman"/>
          <w:b/>
          <w:color w:val="000000"/>
          <w:sz w:val="28"/>
          <w:szCs w:val="28"/>
        </w:rPr>
        <w:t>№</w:t>
      </w:r>
      <w:r w:rsidRPr="00BD6C6F">
        <w:rPr>
          <w:rFonts w:ascii="Times New Roman" w:eastAsia="Times New Roman" w:hAnsi="Times New Roman" w:cs="Times New Roman"/>
          <w:b/>
          <w:color w:val="000000"/>
          <w:sz w:val="28"/>
          <w:szCs w:val="28"/>
        </w:rPr>
        <w:t xml:space="preserve"> 51-ФЗ</w:t>
      </w:r>
    </w:p>
    <w:p w:rsid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Глава 4. ЮРИДИЧЕСКИЕ ЛИЦА</w:t>
      </w:r>
    </w:p>
    <w:p w:rsidR="00771E28" w:rsidRDefault="00771E28"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 7. Некоммерческие унитарные организации</w:t>
      </w:r>
    </w:p>
    <w:p w:rsidR="00771E28" w:rsidRDefault="00771E28"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2. Учреждения</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Статья 123.21. Основные положения об учреждениях</w:t>
      </w:r>
    </w:p>
    <w:p w:rsid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 xml:space="preserve">4. Учредитель учреждения назначает его руководителя, являющегося органом учреждения. </w:t>
      </w:r>
      <w:r>
        <w:rPr>
          <w:rFonts w:ascii="Times New Roman" w:eastAsia="Times New Roman" w:hAnsi="Times New Roman" w:cs="Times New Roman"/>
          <w:bCs/>
          <w:color w:val="000000"/>
          <w:sz w:val="28"/>
          <w:szCs w:val="28"/>
          <w:lang w:val="en-US"/>
        </w:rPr>
        <w:t>&lt;…&gt;</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Статья 123.23. Частное учреждение</w:t>
      </w:r>
    </w:p>
    <w:p w:rsidR="00771E28" w:rsidRDefault="00771E28"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1. Частное учреждение полностью или частично финансируется собственником его имущества.</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BD6C6F">
        <w:rPr>
          <w:rFonts w:ascii="Times New Roman" w:eastAsia="Times New Roman" w:hAnsi="Times New Roman" w:cs="Times New Roman"/>
          <w:bCs/>
          <w:color w:val="000000"/>
          <w:sz w:val="28"/>
          <w:szCs w:val="28"/>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771E28" w:rsidRPr="00771E28"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771E28" w:rsidRPr="00771E28"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
          <w:color w:val="000000"/>
          <w:sz w:val="28"/>
          <w:szCs w:val="28"/>
        </w:rPr>
      </w:pPr>
      <w:r w:rsidRPr="00771E28">
        <w:rPr>
          <w:rFonts w:ascii="Times New Roman" w:eastAsia="Times New Roman" w:hAnsi="Times New Roman" w:cs="Times New Roman"/>
          <w:b/>
          <w:color w:val="000000"/>
          <w:sz w:val="28"/>
          <w:szCs w:val="28"/>
        </w:rPr>
        <w:t xml:space="preserve">Федеральный закон от 06.12.2011 </w:t>
      </w:r>
      <w:r w:rsidRPr="00771E28">
        <w:rPr>
          <w:rFonts w:ascii="Times New Roman" w:eastAsia="Times New Roman" w:hAnsi="Times New Roman" w:cs="Times New Roman"/>
          <w:b/>
          <w:color w:val="000000"/>
          <w:sz w:val="28"/>
          <w:szCs w:val="28"/>
        </w:rPr>
        <w:t>№</w:t>
      </w:r>
      <w:r w:rsidRPr="00771E28">
        <w:rPr>
          <w:rFonts w:ascii="Times New Roman" w:eastAsia="Times New Roman" w:hAnsi="Times New Roman" w:cs="Times New Roman"/>
          <w:b/>
          <w:color w:val="000000"/>
          <w:sz w:val="28"/>
          <w:szCs w:val="28"/>
        </w:rPr>
        <w:t xml:space="preserve"> 402-ФЗ</w:t>
      </w:r>
      <w:r w:rsidRPr="00771E28">
        <w:rPr>
          <w:rFonts w:ascii="Times New Roman" w:eastAsia="Times New Roman" w:hAnsi="Times New Roman" w:cs="Times New Roman"/>
          <w:b/>
          <w:color w:val="000000"/>
          <w:sz w:val="28"/>
          <w:szCs w:val="28"/>
        </w:rPr>
        <w:t xml:space="preserve"> </w:t>
      </w:r>
      <w:r w:rsidRPr="00771E28">
        <w:rPr>
          <w:rFonts w:ascii="Times New Roman" w:eastAsia="Times New Roman" w:hAnsi="Times New Roman" w:cs="Times New Roman"/>
          <w:b/>
          <w:color w:val="000000"/>
          <w:sz w:val="28"/>
          <w:szCs w:val="28"/>
        </w:rPr>
        <w:t>"О бухгалтерском учете"</w:t>
      </w:r>
    </w:p>
    <w:p w:rsidR="00771E28"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771E28" w:rsidRPr="00771E28"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771E28">
        <w:rPr>
          <w:rFonts w:ascii="Times New Roman" w:eastAsia="Times New Roman" w:hAnsi="Times New Roman" w:cs="Times New Roman"/>
          <w:bCs/>
          <w:color w:val="000000"/>
          <w:sz w:val="28"/>
          <w:szCs w:val="28"/>
        </w:rPr>
        <w:t>Статья 8. Уч</w:t>
      </w:r>
      <w:r>
        <w:rPr>
          <w:rFonts w:ascii="Times New Roman" w:eastAsia="Times New Roman" w:hAnsi="Times New Roman" w:cs="Times New Roman"/>
          <w:bCs/>
          <w:color w:val="000000"/>
          <w:sz w:val="28"/>
          <w:szCs w:val="28"/>
        </w:rPr>
        <w:t>ё</w:t>
      </w:r>
      <w:r w:rsidRPr="00771E28">
        <w:rPr>
          <w:rFonts w:ascii="Times New Roman" w:eastAsia="Times New Roman" w:hAnsi="Times New Roman" w:cs="Times New Roman"/>
          <w:bCs/>
          <w:color w:val="000000"/>
          <w:sz w:val="28"/>
          <w:szCs w:val="28"/>
        </w:rPr>
        <w:t>тная политика</w:t>
      </w:r>
    </w:p>
    <w:p w:rsidR="00771E28"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BD6C6F" w:rsidRPr="00BD6C6F" w:rsidRDefault="00771E28" w:rsidP="00771E28">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771E28">
        <w:rPr>
          <w:rFonts w:ascii="Times New Roman" w:eastAsia="Times New Roman" w:hAnsi="Times New Roman" w:cs="Times New Roman"/>
          <w:bCs/>
          <w:color w:val="000000"/>
          <w:sz w:val="28"/>
          <w:szCs w:val="28"/>
        </w:rP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D04EB9" w:rsidRPr="00D04EB9" w:rsidRDefault="00D04EB9" w:rsidP="00762C41">
      <w:pPr>
        <w:pBdr>
          <w:top w:val="none" w:sz="4" w:space="0" w:color="000000"/>
          <w:left w:val="none" w:sz="4" w:space="0" w:color="000000"/>
          <w:bottom w:val="none" w:sz="4" w:space="0" w:color="000000"/>
          <w:right w:val="none" w:sz="4" w:space="0" w:color="000000"/>
        </w:pBdr>
        <w:spacing w:after="0" w:line="240" w:lineRule="auto"/>
        <w:ind w:firstLine="708"/>
        <w:jc w:val="center"/>
        <w:rPr>
          <w:rFonts w:ascii="Times New Roman" w:eastAsia="Times New Roman" w:hAnsi="Times New Roman" w:cs="Times New Roman"/>
          <w:b/>
          <w:color w:val="000000"/>
          <w:sz w:val="28"/>
          <w:szCs w:val="28"/>
        </w:rPr>
      </w:pPr>
      <w:r w:rsidRPr="00D04EB9">
        <w:rPr>
          <w:rFonts w:ascii="Times New Roman" w:eastAsia="Times New Roman" w:hAnsi="Times New Roman" w:cs="Times New Roman"/>
          <w:b/>
          <w:color w:val="000000"/>
          <w:sz w:val="28"/>
          <w:szCs w:val="28"/>
        </w:rPr>
        <w:t xml:space="preserve">"Налоговый кодекс Российской Федерации (часть вторая)" от 05.08.2000 </w:t>
      </w:r>
      <w:r w:rsidR="00762C41">
        <w:rPr>
          <w:rFonts w:ascii="Times New Roman" w:eastAsia="Times New Roman" w:hAnsi="Times New Roman" w:cs="Times New Roman"/>
          <w:b/>
          <w:color w:val="000000"/>
          <w:sz w:val="28"/>
          <w:szCs w:val="28"/>
        </w:rPr>
        <w:t>№</w:t>
      </w:r>
      <w:r w:rsidRPr="00D04EB9">
        <w:rPr>
          <w:rFonts w:ascii="Times New Roman" w:eastAsia="Times New Roman" w:hAnsi="Times New Roman" w:cs="Times New Roman"/>
          <w:b/>
          <w:color w:val="000000"/>
          <w:sz w:val="28"/>
          <w:szCs w:val="28"/>
        </w:rPr>
        <w:t xml:space="preserve"> 117-ФЗ</w:t>
      </w:r>
    </w:p>
    <w:p w:rsidR="00D04EB9" w:rsidRP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D04EB9" w:rsidRP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D04EB9">
        <w:rPr>
          <w:rFonts w:ascii="Times New Roman" w:eastAsia="Times New Roman" w:hAnsi="Times New Roman" w:cs="Times New Roman"/>
          <w:bCs/>
          <w:color w:val="000000"/>
          <w:sz w:val="28"/>
          <w:szCs w:val="28"/>
        </w:rPr>
        <w:t>Статья 256. Амортизируемое имущество</w:t>
      </w:r>
    </w:p>
    <w:p w:rsid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D04EB9" w:rsidRP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D04EB9">
        <w:rPr>
          <w:rFonts w:ascii="Times New Roman" w:eastAsia="Times New Roman" w:hAnsi="Times New Roman" w:cs="Times New Roman"/>
          <w:bCs/>
          <w:color w:val="000000"/>
          <w:sz w:val="28"/>
          <w:szCs w:val="28"/>
        </w:rPr>
        <w:t>1. 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 используются им для извлечения дохода. Амортизируемым имуществом признаются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w:t>
      </w:r>
    </w:p>
    <w:p w:rsidR="00D04EB9" w:rsidRP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D04EB9">
        <w:rPr>
          <w:rFonts w:ascii="Times New Roman" w:eastAsia="Times New Roman" w:hAnsi="Times New Roman" w:cs="Times New Roman"/>
          <w:bCs/>
          <w:color w:val="000000"/>
          <w:sz w:val="28"/>
          <w:szCs w:val="28"/>
        </w:rPr>
        <w:t>Амортизируемое имущество, полученное унитарным предприятием от собственника имущества унитарного предприятия в оперативное управление или хозяйственное ведение, подлежит амортизации у данного унитарного предприятия в порядке, установленном настоящей главой.</w:t>
      </w:r>
    </w:p>
    <w:p w:rsidR="00D04EB9" w:rsidRPr="00D04EB9"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D04EB9">
        <w:rPr>
          <w:rFonts w:ascii="Times New Roman" w:eastAsia="Times New Roman" w:hAnsi="Times New Roman" w:cs="Times New Roman"/>
          <w:bCs/>
          <w:color w:val="000000"/>
          <w:sz w:val="28"/>
          <w:szCs w:val="28"/>
        </w:rPr>
        <w:t>2. &lt;...&gt;</w:t>
      </w:r>
      <w:r>
        <w:rPr>
          <w:rFonts w:ascii="Times New Roman" w:eastAsia="Times New Roman" w:hAnsi="Times New Roman" w:cs="Times New Roman"/>
          <w:bCs/>
          <w:color w:val="000000"/>
          <w:sz w:val="28"/>
          <w:szCs w:val="28"/>
        </w:rPr>
        <w:t xml:space="preserve"> </w:t>
      </w:r>
      <w:r w:rsidRPr="00D04EB9">
        <w:rPr>
          <w:rFonts w:ascii="Times New Roman" w:eastAsia="Times New Roman" w:hAnsi="Times New Roman" w:cs="Times New Roman"/>
          <w:bCs/>
          <w:color w:val="000000"/>
          <w:sz w:val="28"/>
          <w:szCs w:val="28"/>
        </w:rPr>
        <w:t>Не подлежат амортизации следующие виды амортизируемого имущества:</w:t>
      </w:r>
      <w:r>
        <w:rPr>
          <w:rFonts w:ascii="Times New Roman" w:eastAsia="Times New Roman" w:hAnsi="Times New Roman" w:cs="Times New Roman"/>
          <w:bCs/>
          <w:color w:val="000000"/>
          <w:sz w:val="28"/>
          <w:szCs w:val="28"/>
        </w:rPr>
        <w:t xml:space="preserve"> </w:t>
      </w:r>
      <w:r w:rsidRPr="00D04EB9">
        <w:rPr>
          <w:rFonts w:ascii="Times New Roman" w:eastAsia="Times New Roman" w:hAnsi="Times New Roman" w:cs="Times New Roman"/>
          <w:bCs/>
          <w:color w:val="000000"/>
          <w:sz w:val="28"/>
          <w:szCs w:val="28"/>
        </w:rPr>
        <w:t>&lt;...&gt;</w:t>
      </w:r>
    </w:p>
    <w:p w:rsidR="00BD6C6F" w:rsidRPr="00BD6C6F" w:rsidRDefault="00D04EB9" w:rsidP="00D04EB9">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r w:rsidRPr="00D04EB9">
        <w:rPr>
          <w:rFonts w:ascii="Times New Roman" w:eastAsia="Times New Roman" w:hAnsi="Times New Roman" w:cs="Times New Roman"/>
          <w:bCs/>
          <w:color w:val="000000"/>
          <w:sz w:val="28"/>
          <w:szCs w:val="28"/>
        </w:rPr>
        <w:t>2)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rsidR="00BD6C6F" w:rsidRPr="00BD6C6F" w:rsidRDefault="00BD6C6F" w:rsidP="00BD6C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Cs/>
          <w:color w:val="000000"/>
          <w:sz w:val="28"/>
          <w:szCs w:val="28"/>
        </w:rPr>
      </w:pP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pPr>
      <w:r>
        <w:rPr>
          <w:rFonts w:ascii="Times New Roman" w:eastAsia="Times New Roman" w:hAnsi="Times New Roman" w:cs="Times New Roman"/>
          <w:b/>
          <w:color w:val="000000"/>
          <w:sz w:val="36"/>
        </w:rPr>
        <w:t>6. Ирина Валентиновна П.</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b/>
          <w:color w:val="00FF00"/>
          <w:sz w:val="36"/>
        </w:rPr>
        <w:t>ГАМОЛЬСКИЙ</w:t>
      </w:r>
    </w:p>
    <w:p w:rsidR="009B3681" w:rsidRDefault="009B3681" w:rsidP="009B3681">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rPr>
      </w:pP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1. Вопрос по использованию внереализационного дохода от размещения неснижаемого остатка (НСО) на расчетном счете.  </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Фонд получает доход в виде уплаты процентов от размещения НСО на расчетном счете.</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 xml:space="preserve">Вопрос: </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 xml:space="preserve">На какие цели можно расходовать полученный доход? </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Можно ли с этих денег оплатить расходы по ДМС, обучение сотрудников?</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lastRenderedPageBreak/>
        <w:t>2. Вопрос по отражению расходов по ДМС в Отчете о целевом использовании денежных средств</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Фонд заключил договор ДМС для сотрудников, применяем УСН 6%.</w:t>
      </w:r>
    </w:p>
    <w:p w:rsidR="0009578E" w:rsidRDefault="00000000" w:rsidP="009B3681">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36"/>
        </w:rPr>
        <w:t>Вопрос: По какой строке верно отразить расходы по ДМС на сотрудников в Отчете о целевом использовании денежных средств, так как есть сотрудники, работающие по основным направлениям (расходы списываются на сч. 20.03) и сотрудники АХР (расходы списываются на сч.26)?   </w:t>
      </w:r>
    </w:p>
    <w:p w:rsidR="0009578E" w:rsidRDefault="00000000"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r w:rsidRPr="00986654">
        <w:rPr>
          <w:rFonts w:ascii="Times New Roman" w:eastAsia="Times New Roman" w:hAnsi="Times New Roman" w:cs="Times New Roman"/>
          <w:color w:val="000000"/>
          <w:sz w:val="36"/>
        </w:rPr>
        <w:t> </w:t>
      </w:r>
    </w:p>
    <w:p w:rsidR="009B3681" w:rsidRPr="00986654" w:rsidRDefault="009B3681"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p w:rsidR="00986654" w:rsidRPr="00986654" w:rsidRDefault="00986654" w:rsidP="00986654">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bCs/>
          <w:color w:val="000000"/>
          <w:sz w:val="28"/>
          <w:szCs w:val="28"/>
        </w:rPr>
      </w:pPr>
      <w:r w:rsidRPr="00986654">
        <w:rPr>
          <w:rFonts w:ascii="Times New Roman" w:eastAsia="Times New Roman" w:hAnsi="Times New Roman" w:cs="Times New Roman"/>
          <w:b/>
          <w:bCs/>
          <w:color w:val="000000"/>
          <w:sz w:val="28"/>
          <w:szCs w:val="28"/>
        </w:rPr>
        <w:t xml:space="preserve">Федеральный закон от 11.08.1995 </w:t>
      </w:r>
      <w:r w:rsidRPr="00986654">
        <w:rPr>
          <w:rFonts w:ascii="Times New Roman" w:eastAsia="Times New Roman" w:hAnsi="Times New Roman" w:cs="Times New Roman"/>
          <w:b/>
          <w:bCs/>
          <w:color w:val="000000"/>
          <w:sz w:val="28"/>
          <w:szCs w:val="28"/>
        </w:rPr>
        <w:t>№</w:t>
      </w:r>
      <w:r w:rsidRPr="00986654">
        <w:rPr>
          <w:rFonts w:ascii="Times New Roman" w:eastAsia="Times New Roman" w:hAnsi="Times New Roman" w:cs="Times New Roman"/>
          <w:b/>
          <w:bCs/>
          <w:color w:val="000000"/>
          <w:sz w:val="28"/>
          <w:szCs w:val="28"/>
        </w:rPr>
        <w:t xml:space="preserve"> 135-ФЗ "О благотворительной деятельности и добровольчестве (волонт</w:t>
      </w:r>
      <w:r>
        <w:rPr>
          <w:rFonts w:ascii="Times New Roman" w:eastAsia="Times New Roman" w:hAnsi="Times New Roman" w:cs="Times New Roman"/>
          <w:b/>
          <w:bCs/>
          <w:color w:val="000000"/>
          <w:sz w:val="28"/>
          <w:szCs w:val="28"/>
        </w:rPr>
        <w:t>ё</w:t>
      </w:r>
      <w:r w:rsidRPr="00986654">
        <w:rPr>
          <w:rFonts w:ascii="Times New Roman" w:eastAsia="Times New Roman" w:hAnsi="Times New Roman" w:cs="Times New Roman"/>
          <w:b/>
          <w:bCs/>
          <w:color w:val="000000"/>
          <w:sz w:val="28"/>
          <w:szCs w:val="28"/>
        </w:rPr>
        <w:t>рстве)"</w:t>
      </w:r>
    </w:p>
    <w:p w:rsidR="00986654" w:rsidRPr="00986654" w:rsidRDefault="00986654" w:rsidP="0098665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p>
    <w:p w:rsidR="00986654" w:rsidRDefault="00986654" w:rsidP="0098665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986654">
        <w:rPr>
          <w:rFonts w:ascii="Times New Roman" w:eastAsia="Times New Roman" w:hAnsi="Times New Roman" w:cs="Times New Roman"/>
          <w:color w:val="000000"/>
          <w:sz w:val="28"/>
          <w:szCs w:val="28"/>
        </w:rPr>
        <w:t>Статья 17. Благотворительная программа</w:t>
      </w:r>
    </w:p>
    <w:p w:rsidR="00986654" w:rsidRPr="00986654" w:rsidRDefault="00986654" w:rsidP="0098665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p>
    <w:p w:rsidR="00986654" w:rsidRPr="00986654" w:rsidRDefault="00986654" w:rsidP="0098665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986654">
        <w:rPr>
          <w:rFonts w:ascii="Times New Roman" w:eastAsia="Times New Roman" w:hAnsi="Times New Roman" w:cs="Times New Roman"/>
          <w:color w:val="000000"/>
          <w:sz w:val="28"/>
          <w:szCs w:val="28"/>
        </w:rPr>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w:t>
      </w:r>
      <w:r w:rsidRPr="00B97205">
        <w:rPr>
          <w:rFonts w:ascii="Times New Roman" w:eastAsia="Times New Roman" w:hAnsi="Times New Roman" w:cs="Times New Roman"/>
          <w:b/>
          <w:bCs/>
          <w:color w:val="000000"/>
          <w:sz w:val="28"/>
          <w:szCs w:val="28"/>
        </w:rPr>
        <w:t>не менее 80 процентов поступивших за финансовый год доходов от внереализационных операций</w:t>
      </w:r>
      <w:r w:rsidRPr="00986654">
        <w:rPr>
          <w:rFonts w:ascii="Times New Roman" w:eastAsia="Times New Roman" w:hAnsi="Times New Roman" w:cs="Times New Roman"/>
          <w:color w:val="000000"/>
          <w:sz w:val="28"/>
          <w:szCs w:val="28"/>
        </w:rPr>
        <w:t>,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986654" w:rsidRDefault="00986654"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 xml:space="preserve">Приложение </w:t>
      </w:r>
      <w:r w:rsidR="00B97205">
        <w:rPr>
          <w:rFonts w:ascii="Times New Roman" w:eastAsia="Times New Roman" w:hAnsi="Times New Roman" w:cs="Times New Roman"/>
          <w:color w:val="000000"/>
          <w:sz w:val="28"/>
          <w:szCs w:val="28"/>
        </w:rPr>
        <w:t>№</w:t>
      </w:r>
      <w:r w:rsidRPr="00B4546E">
        <w:rPr>
          <w:rFonts w:ascii="Times New Roman" w:eastAsia="Times New Roman" w:hAnsi="Times New Roman" w:cs="Times New Roman"/>
          <w:color w:val="000000"/>
          <w:sz w:val="28"/>
          <w:szCs w:val="28"/>
        </w:rPr>
        <w:t xml:space="preserve"> 5</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к Федеральному стандарту</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бухгалтерского учета ФСБУ 4/2023</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"Бухгалтерская (финансовая)</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отчетность", утвержденному</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приказом Министерства финансов</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Российской Федерации</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 xml:space="preserve">от 04.10.2023 </w:t>
      </w:r>
      <w:r>
        <w:rPr>
          <w:rFonts w:ascii="Times New Roman" w:eastAsia="Times New Roman" w:hAnsi="Times New Roman" w:cs="Times New Roman"/>
          <w:color w:val="000000"/>
          <w:sz w:val="28"/>
          <w:szCs w:val="28"/>
        </w:rPr>
        <w:t>№</w:t>
      </w:r>
      <w:r w:rsidRPr="00B4546E">
        <w:rPr>
          <w:rFonts w:ascii="Times New Roman" w:eastAsia="Times New Roman" w:hAnsi="Times New Roman" w:cs="Times New Roman"/>
          <w:color w:val="000000"/>
          <w:sz w:val="28"/>
          <w:szCs w:val="28"/>
        </w:rPr>
        <w:t xml:space="preserve"> 157н</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4546E" w:rsidRPr="00B4546E">
        <w:tc>
          <w:tcPr>
            <w:tcW w:w="9071" w:type="dxa"/>
            <w:tcBorders>
              <w:top w:val="none" w:sz="6" w:space="0" w:color="auto"/>
              <w:left w:val="none" w:sz="6" w:space="0" w:color="auto"/>
              <w:bottom w:val="none" w:sz="6" w:space="0" w:color="auto"/>
              <w:right w:val="none" w:sz="6" w:space="0" w:color="auto"/>
            </w:tcBorders>
          </w:tcPr>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Отчет о целевом использовании средств</w:t>
            </w:r>
          </w:p>
          <w:p w:rsidR="00B4546E" w:rsidRPr="00B4546E" w:rsidRDefault="00B4546E" w:rsidP="00B4546E">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r w:rsidRPr="00B4546E">
              <w:rPr>
                <w:rFonts w:ascii="Times New Roman" w:eastAsia="Times New Roman" w:hAnsi="Times New Roman" w:cs="Times New Roman"/>
                <w:color w:val="000000"/>
                <w:sz w:val="28"/>
                <w:szCs w:val="28"/>
              </w:rPr>
              <w:t>за ________________ 20__ г.</w:t>
            </w:r>
          </w:p>
        </w:tc>
      </w:tr>
    </w:tbl>
    <w:p w:rsidR="009B3681" w:rsidRDefault="009B3681"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tbl>
      <w:tblPr>
        <w:tblW w:w="11311" w:type="dxa"/>
        <w:tblInd w:w="-108" w:type="dxa"/>
        <w:tblLook w:val="04A0" w:firstRow="1" w:lastRow="0" w:firstColumn="1" w:lastColumn="0" w:noHBand="0" w:noVBand="1"/>
      </w:tblPr>
      <w:tblGrid>
        <w:gridCol w:w="108"/>
        <w:gridCol w:w="360"/>
        <w:gridCol w:w="8712"/>
        <w:gridCol w:w="2131"/>
      </w:tblGrid>
      <w:tr w:rsidR="00B4546E" w:rsidRPr="00B4546E" w:rsidTr="00B4546E">
        <w:trPr>
          <w:gridBefore w:val="1"/>
          <w:wBefore w:w="108" w:type="dxa"/>
          <w:trHeight w:val="360"/>
        </w:trPr>
        <w:tc>
          <w:tcPr>
            <w:tcW w:w="360" w:type="dxa"/>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 </w:t>
            </w:r>
          </w:p>
        </w:tc>
        <w:tc>
          <w:tcPr>
            <w:tcW w:w="10843" w:type="dxa"/>
            <w:gridSpan w:val="2"/>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Расходы на целевые мероприятия</w:t>
            </w:r>
          </w:p>
        </w:tc>
      </w:tr>
      <w:tr w:rsidR="00B4546E" w:rsidRPr="00B4546E" w:rsidTr="00B4546E">
        <w:trPr>
          <w:gridBefore w:val="1"/>
          <w:wBefore w:w="108" w:type="dxa"/>
          <w:trHeight w:val="360"/>
        </w:trPr>
        <w:tc>
          <w:tcPr>
            <w:tcW w:w="360" w:type="dxa"/>
            <w:tcBorders>
              <w:top w:val="nil"/>
              <w:left w:val="nil"/>
              <w:bottom w:val="nil"/>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lastRenderedPageBreak/>
              <w:t> </w:t>
            </w:r>
          </w:p>
        </w:tc>
        <w:tc>
          <w:tcPr>
            <w:tcW w:w="10843" w:type="dxa"/>
            <w:gridSpan w:val="2"/>
            <w:tcBorders>
              <w:top w:val="single" w:sz="4" w:space="0" w:color="auto"/>
              <w:left w:val="nil"/>
              <w:bottom w:val="nil"/>
              <w:right w:val="nil"/>
            </w:tcBorders>
            <w:shd w:val="clear" w:color="auto" w:fill="auto"/>
            <w:noWrap/>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в том числе:</w:t>
            </w:r>
          </w:p>
        </w:tc>
      </w:tr>
      <w:tr w:rsidR="00B4546E" w:rsidRPr="00B4546E" w:rsidTr="00B4546E">
        <w:trPr>
          <w:gridBefore w:val="1"/>
          <w:wBefore w:w="108" w:type="dxa"/>
          <w:trHeight w:val="360"/>
        </w:trPr>
        <w:tc>
          <w:tcPr>
            <w:tcW w:w="360" w:type="dxa"/>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 </w:t>
            </w:r>
          </w:p>
        </w:tc>
        <w:tc>
          <w:tcPr>
            <w:tcW w:w="10843" w:type="dxa"/>
            <w:gridSpan w:val="2"/>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социальная и благотворительная помощь</w:t>
            </w:r>
          </w:p>
        </w:tc>
      </w:tr>
      <w:tr w:rsidR="00B4546E" w:rsidRPr="00B4546E" w:rsidTr="00B4546E">
        <w:trPr>
          <w:gridBefore w:val="1"/>
          <w:wBefore w:w="108" w:type="dxa"/>
          <w:trHeight w:val="360"/>
        </w:trPr>
        <w:tc>
          <w:tcPr>
            <w:tcW w:w="360" w:type="dxa"/>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 </w:t>
            </w:r>
          </w:p>
        </w:tc>
        <w:tc>
          <w:tcPr>
            <w:tcW w:w="10843" w:type="dxa"/>
            <w:gridSpan w:val="2"/>
            <w:tcBorders>
              <w:top w:val="single" w:sz="4" w:space="0" w:color="auto"/>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проведение конференций, совещаний, семинаров</w:t>
            </w:r>
          </w:p>
        </w:tc>
      </w:tr>
      <w:tr w:rsidR="00B4546E" w:rsidRPr="00B4546E" w:rsidTr="00B4546E">
        <w:trPr>
          <w:gridBefore w:val="1"/>
          <w:wBefore w:w="108" w:type="dxa"/>
          <w:trHeight w:val="360"/>
        </w:trPr>
        <w:tc>
          <w:tcPr>
            <w:tcW w:w="360" w:type="dxa"/>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 </w:t>
            </w:r>
          </w:p>
        </w:tc>
        <w:tc>
          <w:tcPr>
            <w:tcW w:w="10843" w:type="dxa"/>
            <w:gridSpan w:val="2"/>
            <w:tcBorders>
              <w:top w:val="nil"/>
              <w:left w:val="nil"/>
              <w:bottom w:val="single" w:sz="4" w:space="0" w:color="auto"/>
              <w:right w:val="nil"/>
            </w:tcBorders>
            <w:shd w:val="clear" w:color="auto" w:fill="auto"/>
            <w:noWrap/>
            <w:vAlign w:val="center"/>
            <w:hideMark/>
          </w:tcPr>
          <w:p w:rsidR="00B4546E" w:rsidRPr="000131C8" w:rsidRDefault="00B97205" w:rsidP="00712912">
            <w:pPr>
              <w:spacing w:after="0" w:line="240" w:lineRule="auto"/>
              <w:ind w:firstLineChars="200" w:firstLine="5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4546E" w:rsidRPr="000131C8">
              <w:rPr>
                <w:rFonts w:ascii="Times New Roman" w:eastAsia="Times New Roman" w:hAnsi="Times New Roman" w:cs="Times New Roman"/>
                <w:sz w:val="28"/>
                <w:szCs w:val="28"/>
                <w:lang w:eastAsia="ru-RU"/>
              </w:rPr>
              <w:t>рочие</w:t>
            </w:r>
          </w:p>
        </w:tc>
      </w:tr>
      <w:tr w:rsidR="00B4546E" w:rsidRPr="00B4546E" w:rsidTr="00B4546E">
        <w:trPr>
          <w:gridAfter w:val="1"/>
          <w:wAfter w:w="2131" w:type="dxa"/>
          <w:trHeight w:val="360"/>
        </w:trPr>
        <w:tc>
          <w:tcPr>
            <w:tcW w:w="9180" w:type="dxa"/>
            <w:gridSpan w:val="3"/>
            <w:tcBorders>
              <w:top w:val="nil"/>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Расходы на содержание аппарата управления</w:t>
            </w:r>
          </w:p>
        </w:tc>
      </w:tr>
      <w:tr w:rsidR="00B4546E" w:rsidRPr="00B4546E" w:rsidTr="00B4546E">
        <w:trPr>
          <w:gridAfter w:val="1"/>
          <w:wAfter w:w="2131" w:type="dxa"/>
          <w:trHeight w:val="360"/>
        </w:trPr>
        <w:tc>
          <w:tcPr>
            <w:tcW w:w="9180" w:type="dxa"/>
            <w:gridSpan w:val="3"/>
            <w:tcBorders>
              <w:top w:val="single" w:sz="4" w:space="0" w:color="auto"/>
              <w:left w:val="nil"/>
              <w:bottom w:val="nil"/>
              <w:right w:val="nil"/>
            </w:tcBorders>
            <w:shd w:val="clear" w:color="auto" w:fill="auto"/>
            <w:noWrap/>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в том числе:</w:t>
            </w:r>
          </w:p>
        </w:tc>
      </w:tr>
      <w:tr w:rsidR="00B4546E" w:rsidRPr="00B4546E" w:rsidTr="00B4546E">
        <w:trPr>
          <w:gridAfter w:val="1"/>
          <w:wAfter w:w="2131" w:type="dxa"/>
          <w:trHeight w:val="660"/>
        </w:trPr>
        <w:tc>
          <w:tcPr>
            <w:tcW w:w="9180" w:type="dxa"/>
            <w:gridSpan w:val="3"/>
            <w:tcBorders>
              <w:top w:val="nil"/>
              <w:left w:val="nil"/>
              <w:bottom w:val="single" w:sz="4" w:space="0" w:color="auto"/>
              <w:right w:val="single" w:sz="8" w:space="0" w:color="000000"/>
            </w:tcBorders>
            <w:shd w:val="clear" w:color="auto" w:fill="auto"/>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расходы, связанные с оплатой труда (включая начисления)</w:t>
            </w:r>
          </w:p>
        </w:tc>
      </w:tr>
      <w:tr w:rsidR="00B4546E" w:rsidRPr="00B4546E" w:rsidTr="00B4546E">
        <w:trPr>
          <w:gridAfter w:val="1"/>
          <w:wAfter w:w="2131" w:type="dxa"/>
          <w:trHeight w:val="360"/>
        </w:trPr>
        <w:tc>
          <w:tcPr>
            <w:tcW w:w="9180" w:type="dxa"/>
            <w:gridSpan w:val="3"/>
            <w:tcBorders>
              <w:top w:val="single" w:sz="4" w:space="0" w:color="auto"/>
              <w:left w:val="nil"/>
              <w:bottom w:val="single" w:sz="4" w:space="0" w:color="auto"/>
              <w:right w:val="nil"/>
            </w:tcBorders>
            <w:shd w:val="clear" w:color="auto" w:fill="auto"/>
            <w:noWrap/>
            <w:vAlign w:val="center"/>
            <w:hideMark/>
          </w:tcPr>
          <w:p w:rsidR="00B4546E" w:rsidRPr="000131C8" w:rsidRDefault="00B4546E" w:rsidP="00712912">
            <w:pPr>
              <w:spacing w:after="0" w:line="240" w:lineRule="auto"/>
              <w:ind w:firstLineChars="200" w:firstLine="560"/>
              <w:rPr>
                <w:rFonts w:ascii="Times New Roman" w:eastAsia="Times New Roman" w:hAnsi="Times New Roman" w:cs="Times New Roman"/>
                <w:sz w:val="28"/>
                <w:szCs w:val="28"/>
                <w:lang w:eastAsia="ru-RU"/>
              </w:rPr>
            </w:pPr>
            <w:r w:rsidRPr="000131C8">
              <w:rPr>
                <w:rFonts w:ascii="Times New Roman" w:eastAsia="Times New Roman" w:hAnsi="Times New Roman" w:cs="Times New Roman"/>
                <w:sz w:val="28"/>
                <w:szCs w:val="28"/>
                <w:lang w:eastAsia="ru-RU"/>
              </w:rPr>
              <w:t>выплаты, не связанные с оплатой труда</w:t>
            </w:r>
          </w:p>
        </w:tc>
      </w:tr>
    </w:tbl>
    <w:p w:rsidR="00B4546E" w:rsidRPr="00986654" w:rsidRDefault="00B4546E" w:rsidP="00BD6C6F">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36"/>
        </w:rPr>
      </w:pPr>
    </w:p>
    <w:sectPr w:rsidR="00B4546E" w:rsidRPr="0098665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58ED" w:rsidRDefault="008458ED">
      <w:pPr>
        <w:spacing w:after="0" w:line="240" w:lineRule="auto"/>
      </w:pPr>
      <w:r>
        <w:separator/>
      </w:r>
    </w:p>
  </w:endnote>
  <w:endnote w:type="continuationSeparator" w:id="0">
    <w:p w:rsidR="008458ED" w:rsidRDefault="0084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58ED" w:rsidRDefault="008458ED">
      <w:pPr>
        <w:spacing w:after="0" w:line="240" w:lineRule="auto"/>
      </w:pPr>
      <w:r>
        <w:separator/>
      </w:r>
    </w:p>
  </w:footnote>
  <w:footnote w:type="continuationSeparator" w:id="0">
    <w:p w:rsidR="008458ED" w:rsidRDefault="0084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F5645"/>
    <w:multiLevelType w:val="hybridMultilevel"/>
    <w:tmpl w:val="BD7CDA84"/>
    <w:lvl w:ilvl="0" w:tplc="A940A8DC">
      <w:start w:val="1"/>
      <w:numFmt w:val="decimal"/>
      <w:lvlText w:val="%1."/>
      <w:lvlJc w:val="left"/>
      <w:pPr>
        <w:ind w:left="720" w:hanging="360"/>
      </w:pPr>
    </w:lvl>
    <w:lvl w:ilvl="1" w:tplc="8904EAB2">
      <w:start w:val="1"/>
      <w:numFmt w:val="lowerLetter"/>
      <w:lvlText w:val="%2."/>
      <w:lvlJc w:val="left"/>
      <w:pPr>
        <w:ind w:left="1440" w:hanging="360"/>
      </w:pPr>
    </w:lvl>
    <w:lvl w:ilvl="2" w:tplc="357410BC">
      <w:start w:val="1"/>
      <w:numFmt w:val="lowerRoman"/>
      <w:lvlText w:val="%3."/>
      <w:lvlJc w:val="right"/>
      <w:pPr>
        <w:ind w:left="2160" w:hanging="360"/>
      </w:pPr>
    </w:lvl>
    <w:lvl w:ilvl="3" w:tplc="6504DEDE">
      <w:start w:val="1"/>
      <w:numFmt w:val="decimal"/>
      <w:lvlText w:val="%4."/>
      <w:lvlJc w:val="left"/>
      <w:pPr>
        <w:ind w:left="2880" w:hanging="360"/>
      </w:pPr>
    </w:lvl>
    <w:lvl w:ilvl="4" w:tplc="6538A060">
      <w:start w:val="1"/>
      <w:numFmt w:val="lowerLetter"/>
      <w:lvlText w:val="%5."/>
      <w:lvlJc w:val="left"/>
      <w:pPr>
        <w:ind w:left="3600" w:hanging="360"/>
      </w:pPr>
    </w:lvl>
    <w:lvl w:ilvl="5" w:tplc="02305500">
      <w:start w:val="1"/>
      <w:numFmt w:val="lowerRoman"/>
      <w:lvlText w:val="%6."/>
      <w:lvlJc w:val="right"/>
      <w:pPr>
        <w:ind w:left="4320" w:hanging="360"/>
      </w:pPr>
    </w:lvl>
    <w:lvl w:ilvl="6" w:tplc="52CA89AE">
      <w:start w:val="1"/>
      <w:numFmt w:val="decimal"/>
      <w:lvlText w:val="%7."/>
      <w:lvlJc w:val="left"/>
      <w:pPr>
        <w:ind w:left="5040" w:hanging="360"/>
      </w:pPr>
    </w:lvl>
    <w:lvl w:ilvl="7" w:tplc="52EEDDDA">
      <w:start w:val="1"/>
      <w:numFmt w:val="lowerLetter"/>
      <w:lvlText w:val="%8."/>
      <w:lvlJc w:val="left"/>
      <w:pPr>
        <w:ind w:left="5760" w:hanging="360"/>
      </w:pPr>
    </w:lvl>
    <w:lvl w:ilvl="8" w:tplc="889E94E6">
      <w:start w:val="1"/>
      <w:numFmt w:val="lowerRoman"/>
      <w:lvlText w:val="%9."/>
      <w:lvlJc w:val="right"/>
      <w:pPr>
        <w:ind w:left="6480" w:hanging="360"/>
      </w:pPr>
    </w:lvl>
  </w:abstractNum>
  <w:abstractNum w:abstractNumId="1" w15:restartNumberingAfterBreak="0">
    <w:nsid w:val="633B0DBF"/>
    <w:multiLevelType w:val="hybridMultilevel"/>
    <w:tmpl w:val="19E84330"/>
    <w:lvl w:ilvl="0" w:tplc="0AF4779E">
      <w:start w:val="1"/>
      <w:numFmt w:val="decimal"/>
      <w:lvlText w:val="%1."/>
      <w:lvlJc w:val="right"/>
      <w:pPr>
        <w:ind w:left="709" w:hanging="360"/>
      </w:pPr>
      <w:rPr>
        <w:rFonts w:ascii="Liberation Sans" w:eastAsia="Liberation Sans" w:hAnsi="Liberation Sans" w:cs="Liberation Sans"/>
        <w:color w:val="2C2D2E"/>
        <w:sz w:val="24"/>
      </w:rPr>
    </w:lvl>
    <w:lvl w:ilvl="1" w:tplc="5D40E572">
      <w:start w:val="1"/>
      <w:numFmt w:val="decimal"/>
      <w:lvlText w:val="%2."/>
      <w:lvlJc w:val="right"/>
      <w:pPr>
        <w:ind w:left="1429" w:hanging="360"/>
      </w:pPr>
    </w:lvl>
    <w:lvl w:ilvl="2" w:tplc="0D7217C6">
      <w:start w:val="1"/>
      <w:numFmt w:val="decimal"/>
      <w:lvlText w:val="%3."/>
      <w:lvlJc w:val="right"/>
      <w:pPr>
        <w:ind w:left="2149" w:hanging="180"/>
      </w:pPr>
    </w:lvl>
    <w:lvl w:ilvl="3" w:tplc="4F806D70">
      <w:start w:val="1"/>
      <w:numFmt w:val="decimal"/>
      <w:lvlText w:val="%4."/>
      <w:lvlJc w:val="right"/>
      <w:pPr>
        <w:ind w:left="2869" w:hanging="360"/>
      </w:pPr>
    </w:lvl>
    <w:lvl w:ilvl="4" w:tplc="C248E560">
      <w:start w:val="1"/>
      <w:numFmt w:val="decimal"/>
      <w:lvlText w:val="%5."/>
      <w:lvlJc w:val="right"/>
      <w:pPr>
        <w:ind w:left="3589" w:hanging="360"/>
      </w:pPr>
    </w:lvl>
    <w:lvl w:ilvl="5" w:tplc="34949BB6">
      <w:start w:val="1"/>
      <w:numFmt w:val="decimal"/>
      <w:lvlText w:val="%6."/>
      <w:lvlJc w:val="right"/>
      <w:pPr>
        <w:ind w:left="4309" w:hanging="180"/>
      </w:pPr>
    </w:lvl>
    <w:lvl w:ilvl="6" w:tplc="2326D8AC">
      <w:start w:val="1"/>
      <w:numFmt w:val="decimal"/>
      <w:lvlText w:val="%7."/>
      <w:lvlJc w:val="right"/>
      <w:pPr>
        <w:ind w:left="5029" w:hanging="360"/>
      </w:pPr>
    </w:lvl>
    <w:lvl w:ilvl="7" w:tplc="DCFEA5D0">
      <w:start w:val="1"/>
      <w:numFmt w:val="decimal"/>
      <w:lvlText w:val="%8."/>
      <w:lvlJc w:val="right"/>
      <w:pPr>
        <w:ind w:left="5749" w:hanging="360"/>
      </w:pPr>
    </w:lvl>
    <w:lvl w:ilvl="8" w:tplc="87902B0E">
      <w:start w:val="1"/>
      <w:numFmt w:val="decimal"/>
      <w:lvlText w:val="%9."/>
      <w:lvlJc w:val="right"/>
      <w:pPr>
        <w:ind w:left="6469" w:hanging="180"/>
      </w:pPr>
    </w:lvl>
  </w:abstractNum>
  <w:abstractNum w:abstractNumId="2" w15:restartNumberingAfterBreak="0">
    <w:nsid w:val="77D50B55"/>
    <w:multiLevelType w:val="hybridMultilevel"/>
    <w:tmpl w:val="FEE401D4"/>
    <w:lvl w:ilvl="0" w:tplc="81E4A4F8">
      <w:start w:val="1"/>
      <w:numFmt w:val="decimal"/>
      <w:lvlText w:val="%1."/>
      <w:lvlJc w:val="right"/>
      <w:pPr>
        <w:ind w:left="709" w:hanging="360"/>
      </w:pPr>
      <w:rPr>
        <w:rFonts w:ascii="Liberation Sans" w:eastAsia="Liberation Sans" w:hAnsi="Liberation Sans" w:cs="Liberation Sans"/>
        <w:color w:val="2C2D2E"/>
        <w:sz w:val="24"/>
      </w:rPr>
    </w:lvl>
    <w:lvl w:ilvl="1" w:tplc="39143D48">
      <w:start w:val="1"/>
      <w:numFmt w:val="decimal"/>
      <w:lvlText w:val="%2."/>
      <w:lvlJc w:val="right"/>
      <w:pPr>
        <w:ind w:left="1429" w:hanging="360"/>
      </w:pPr>
    </w:lvl>
    <w:lvl w:ilvl="2" w:tplc="647AFC06">
      <w:start w:val="1"/>
      <w:numFmt w:val="decimal"/>
      <w:lvlText w:val="%3."/>
      <w:lvlJc w:val="right"/>
      <w:pPr>
        <w:ind w:left="2149" w:hanging="180"/>
      </w:pPr>
    </w:lvl>
    <w:lvl w:ilvl="3" w:tplc="1BECB62C">
      <w:start w:val="1"/>
      <w:numFmt w:val="decimal"/>
      <w:lvlText w:val="%4."/>
      <w:lvlJc w:val="right"/>
      <w:pPr>
        <w:ind w:left="2869" w:hanging="360"/>
      </w:pPr>
    </w:lvl>
    <w:lvl w:ilvl="4" w:tplc="46B047C0">
      <w:start w:val="1"/>
      <w:numFmt w:val="decimal"/>
      <w:lvlText w:val="%5."/>
      <w:lvlJc w:val="right"/>
      <w:pPr>
        <w:ind w:left="3589" w:hanging="360"/>
      </w:pPr>
    </w:lvl>
    <w:lvl w:ilvl="5" w:tplc="07D49570">
      <w:start w:val="1"/>
      <w:numFmt w:val="decimal"/>
      <w:lvlText w:val="%6."/>
      <w:lvlJc w:val="right"/>
      <w:pPr>
        <w:ind w:left="4309" w:hanging="180"/>
      </w:pPr>
    </w:lvl>
    <w:lvl w:ilvl="6" w:tplc="6F940E68">
      <w:start w:val="1"/>
      <w:numFmt w:val="decimal"/>
      <w:lvlText w:val="%7."/>
      <w:lvlJc w:val="right"/>
      <w:pPr>
        <w:ind w:left="5029" w:hanging="360"/>
      </w:pPr>
    </w:lvl>
    <w:lvl w:ilvl="7" w:tplc="15EEA15C">
      <w:start w:val="1"/>
      <w:numFmt w:val="decimal"/>
      <w:lvlText w:val="%8."/>
      <w:lvlJc w:val="right"/>
      <w:pPr>
        <w:ind w:left="5749" w:hanging="360"/>
      </w:pPr>
    </w:lvl>
    <w:lvl w:ilvl="8" w:tplc="B1965360">
      <w:start w:val="1"/>
      <w:numFmt w:val="decimal"/>
      <w:lvlText w:val="%9."/>
      <w:lvlJc w:val="right"/>
      <w:pPr>
        <w:ind w:left="6469" w:hanging="180"/>
      </w:pPr>
    </w:lvl>
  </w:abstractNum>
  <w:num w:numId="1" w16cid:durableId="1431196391">
    <w:abstractNumId w:val="2"/>
  </w:num>
  <w:num w:numId="2" w16cid:durableId="712198434">
    <w:abstractNumId w:val="1"/>
  </w:num>
  <w:num w:numId="3" w16cid:durableId="110874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8E"/>
    <w:rsid w:val="0009578E"/>
    <w:rsid w:val="004D347C"/>
    <w:rsid w:val="00762C41"/>
    <w:rsid w:val="00771E28"/>
    <w:rsid w:val="008458ED"/>
    <w:rsid w:val="008A5CFD"/>
    <w:rsid w:val="00986654"/>
    <w:rsid w:val="009B3681"/>
    <w:rsid w:val="00B4546E"/>
    <w:rsid w:val="00B97205"/>
    <w:rsid w:val="00BD6C6F"/>
    <w:rsid w:val="00D0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A37D"/>
  <w15:docId w15:val="{0AED2441-FA99-4668-824B-42AFB7A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5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20995&amp;date=29.06.2025" TargetMode="External"/><Relationship Id="rId3" Type="http://schemas.openxmlformats.org/officeDocument/2006/relationships/settings" Target="settings.xml"/><Relationship Id="rId7" Type="http://schemas.openxmlformats.org/officeDocument/2006/relationships/hyperlink" Target="https://login.consultant.ru/link/?req=doc&amp;base=LAW&amp;n=482692&amp;dst=37&amp;field=134&amp;date=29.06.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79371&amp;dst=100010&amp;field=134&amp;date=29.06.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1763&amp;dst=100001&amp;field=134&amp;date=29.06.2025"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Pavel Gamolskiy</cp:lastModifiedBy>
  <cp:revision>9</cp:revision>
  <dcterms:created xsi:type="dcterms:W3CDTF">2025-07-01T07:07:00Z</dcterms:created>
  <dcterms:modified xsi:type="dcterms:W3CDTF">2025-07-01T08:31:00Z</dcterms:modified>
</cp:coreProperties>
</file>