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747F" w:rsidRPr="0051747F" w:rsidRDefault="0051747F" w:rsidP="0051747F">
      <w:pPr>
        <w:pStyle w:val="23"/>
        <w:jc w:val="center"/>
        <w:rPr>
          <w:rFonts w:ascii="Times New Roman" w:hAnsi="Times New Roman"/>
          <w:sz w:val="36"/>
          <w:szCs w:val="36"/>
        </w:rPr>
      </w:pPr>
      <w:r w:rsidRPr="0051747F">
        <w:rPr>
          <w:rFonts w:ascii="Times New Roman" w:hAnsi="Times New Roman"/>
          <w:b/>
          <w:bCs/>
          <w:sz w:val="36"/>
          <w:szCs w:val="36"/>
        </w:rPr>
        <w:t xml:space="preserve">Вопросы к вебинару </w:t>
      </w:r>
      <w:r>
        <w:rPr>
          <w:rFonts w:ascii="Times New Roman" w:hAnsi="Times New Roman"/>
          <w:b/>
          <w:bCs/>
          <w:sz w:val="36"/>
          <w:szCs w:val="36"/>
        </w:rPr>
        <w:t>22 апреля</w:t>
      </w:r>
      <w:r w:rsidRPr="0051747F">
        <w:rPr>
          <w:rFonts w:ascii="Times New Roman" w:hAnsi="Times New Roman"/>
          <w:b/>
          <w:bCs/>
          <w:sz w:val="36"/>
          <w:szCs w:val="36"/>
        </w:rPr>
        <w:t xml:space="preserve"> 2025 г. (вторник)</w:t>
      </w:r>
    </w:p>
    <w:p w:rsidR="00244118" w:rsidRPr="00424AE4" w:rsidRDefault="00383329" w:rsidP="00244118">
      <w:pPr>
        <w:pStyle w:val="23"/>
        <w:spacing w:after="0" w:line="240" w:lineRule="auto"/>
        <w:ind w:firstLine="708"/>
        <w:jc w:val="both"/>
        <w:rPr>
          <w:rFonts w:ascii="Times New Roman" w:hAnsi="Times New Roman"/>
          <w:b/>
          <w:bCs/>
          <w:sz w:val="36"/>
          <w:szCs w:val="36"/>
        </w:rPr>
      </w:pPr>
      <w:r w:rsidRPr="00424AE4">
        <w:rPr>
          <w:rFonts w:ascii="Times New Roman" w:hAnsi="Times New Roman"/>
          <w:b/>
          <w:bCs/>
          <w:sz w:val="36"/>
          <w:szCs w:val="36"/>
        </w:rPr>
        <w:t xml:space="preserve">4. </w:t>
      </w:r>
      <w:r w:rsidR="00244118" w:rsidRPr="00424AE4">
        <w:rPr>
          <w:rFonts w:ascii="Times New Roman" w:hAnsi="Times New Roman"/>
          <w:b/>
          <w:bCs/>
          <w:sz w:val="36"/>
          <w:szCs w:val="36"/>
        </w:rPr>
        <w:t>Татьяна Александровна Г</w:t>
      </w:r>
      <w:r w:rsidRPr="00424AE4">
        <w:rPr>
          <w:rFonts w:ascii="Times New Roman" w:hAnsi="Times New Roman"/>
          <w:b/>
          <w:bCs/>
          <w:sz w:val="36"/>
          <w:szCs w:val="36"/>
        </w:rPr>
        <w:t>.</w:t>
      </w:r>
    </w:p>
    <w:p w:rsidR="00244118" w:rsidRPr="00424AE4" w:rsidRDefault="0051747F" w:rsidP="00244118">
      <w:pPr>
        <w:pStyle w:val="23"/>
        <w:spacing w:after="0" w:line="240" w:lineRule="auto"/>
        <w:ind w:firstLine="708"/>
        <w:jc w:val="both"/>
        <w:rPr>
          <w:rFonts w:ascii="Times New Roman" w:hAnsi="Times New Roman"/>
          <w:color w:val="00B050"/>
          <w:sz w:val="36"/>
          <w:szCs w:val="36"/>
        </w:rPr>
      </w:pPr>
      <w:r w:rsidRPr="00424AE4">
        <w:rPr>
          <w:rFonts w:ascii="Times New Roman" w:hAnsi="Times New Roman"/>
          <w:color w:val="00B050"/>
          <w:sz w:val="36"/>
          <w:szCs w:val="36"/>
        </w:rPr>
        <w:t>ГАМОЛЬСКИЙ</w:t>
      </w:r>
    </w:p>
    <w:p w:rsidR="0051747F" w:rsidRDefault="0051747F" w:rsidP="00244118">
      <w:pPr>
        <w:pStyle w:val="23"/>
        <w:spacing w:after="0" w:line="240" w:lineRule="auto"/>
        <w:ind w:firstLine="708"/>
        <w:jc w:val="both"/>
        <w:rPr>
          <w:rFonts w:ascii="Times New Roman" w:hAnsi="Times New Roman"/>
          <w:sz w:val="36"/>
          <w:szCs w:val="36"/>
        </w:rPr>
      </w:pPr>
      <w:r>
        <w:rPr>
          <w:rFonts w:ascii="Times New Roman" w:hAnsi="Times New Roman"/>
          <w:sz w:val="36"/>
          <w:szCs w:val="36"/>
        </w:rPr>
        <w:t>К</w:t>
      </w:r>
      <w:r w:rsidR="00244118" w:rsidRPr="00244118">
        <w:rPr>
          <w:rFonts w:ascii="Times New Roman" w:hAnsi="Times New Roman"/>
          <w:sz w:val="36"/>
          <w:szCs w:val="36"/>
        </w:rPr>
        <w:t>ак можно минимизировать риски при безвозмездной передаче помещения под реализацию проектов  в налоговом и бухгалтерском учете? </w:t>
      </w:r>
    </w:p>
    <w:p w:rsidR="0051747F" w:rsidRDefault="00244118" w:rsidP="00244118">
      <w:pPr>
        <w:pStyle w:val="23"/>
        <w:spacing w:after="0" w:line="240" w:lineRule="auto"/>
        <w:ind w:firstLine="708"/>
        <w:jc w:val="both"/>
        <w:rPr>
          <w:rFonts w:ascii="Times New Roman" w:hAnsi="Times New Roman"/>
          <w:sz w:val="36"/>
          <w:szCs w:val="36"/>
        </w:rPr>
      </w:pPr>
      <w:r w:rsidRPr="00244118">
        <w:rPr>
          <w:rFonts w:ascii="Times New Roman" w:hAnsi="Times New Roman"/>
          <w:sz w:val="36"/>
          <w:szCs w:val="36"/>
        </w:rPr>
        <w:t>У нас АНО занимается благотворительностью (реализуем грантовые соц. проекты)  и будет в будущем оборот по деятельности</w:t>
      </w:r>
      <w:r w:rsidR="0051747F">
        <w:rPr>
          <w:rFonts w:ascii="Times New Roman" w:hAnsi="Times New Roman"/>
          <w:sz w:val="36"/>
          <w:szCs w:val="36"/>
        </w:rPr>
        <w:t>,</w:t>
      </w:r>
      <w:r w:rsidRPr="00244118">
        <w:rPr>
          <w:rFonts w:ascii="Times New Roman" w:hAnsi="Times New Roman"/>
          <w:sz w:val="36"/>
          <w:szCs w:val="36"/>
        </w:rPr>
        <w:t xml:space="preserve"> приносящей доход</w:t>
      </w:r>
      <w:r w:rsidR="0051747F">
        <w:rPr>
          <w:rFonts w:ascii="Times New Roman" w:hAnsi="Times New Roman"/>
          <w:sz w:val="36"/>
          <w:szCs w:val="36"/>
        </w:rPr>
        <w:t xml:space="preserve"> </w:t>
      </w:r>
      <w:r w:rsidRPr="00244118">
        <w:rPr>
          <w:rFonts w:ascii="Times New Roman" w:hAnsi="Times New Roman"/>
          <w:sz w:val="36"/>
          <w:szCs w:val="36"/>
        </w:rPr>
        <w:t>(реабилитация детей по региональному сертификату).</w:t>
      </w:r>
      <w:r w:rsidR="0051747F">
        <w:rPr>
          <w:rFonts w:ascii="Times New Roman" w:hAnsi="Times New Roman"/>
          <w:sz w:val="36"/>
          <w:szCs w:val="36"/>
        </w:rPr>
        <w:t xml:space="preserve"> </w:t>
      </w:r>
    </w:p>
    <w:p w:rsidR="0051747F" w:rsidRDefault="00244118" w:rsidP="00244118">
      <w:pPr>
        <w:pStyle w:val="23"/>
        <w:spacing w:after="0" w:line="240" w:lineRule="auto"/>
        <w:ind w:firstLine="708"/>
        <w:jc w:val="both"/>
        <w:rPr>
          <w:rFonts w:ascii="Times New Roman" w:hAnsi="Times New Roman"/>
          <w:sz w:val="36"/>
          <w:szCs w:val="36"/>
        </w:rPr>
      </w:pPr>
      <w:r w:rsidRPr="00244118">
        <w:rPr>
          <w:rFonts w:ascii="Times New Roman" w:hAnsi="Times New Roman"/>
          <w:sz w:val="36"/>
          <w:szCs w:val="36"/>
        </w:rPr>
        <w:t>Нам в рамках  софинансирования безвозмездно по договору ссуды хотят передать площадь под реализацию благотворительных проектов. У них по такому договору налогов не возникает. Но у нас есть и платная реабилитация по сертификатам. Можно ли в этом случае часть</w:t>
      </w:r>
      <w:r w:rsidR="0051747F">
        <w:rPr>
          <w:rFonts w:ascii="Times New Roman" w:hAnsi="Times New Roman"/>
          <w:sz w:val="36"/>
          <w:szCs w:val="36"/>
        </w:rPr>
        <w:t>,</w:t>
      </w:r>
      <w:r w:rsidRPr="00244118">
        <w:rPr>
          <w:rFonts w:ascii="Times New Roman" w:hAnsi="Times New Roman"/>
          <w:sz w:val="36"/>
          <w:szCs w:val="36"/>
        </w:rPr>
        <w:t xml:space="preserve"> относящуюся к доходной деятельности</w:t>
      </w:r>
      <w:r w:rsidR="0051747F">
        <w:rPr>
          <w:rFonts w:ascii="Times New Roman" w:hAnsi="Times New Roman"/>
          <w:sz w:val="36"/>
          <w:szCs w:val="36"/>
        </w:rPr>
        <w:t>,</w:t>
      </w:r>
      <w:r w:rsidRPr="00244118">
        <w:rPr>
          <w:rFonts w:ascii="Times New Roman" w:hAnsi="Times New Roman"/>
          <w:sz w:val="36"/>
          <w:szCs w:val="36"/>
        </w:rPr>
        <w:t xml:space="preserve"> сделать по платному договору, за небольшую сумму, а под благотворительность передать безвозмездно. </w:t>
      </w:r>
    </w:p>
    <w:p w:rsidR="0051747F" w:rsidRDefault="00244118" w:rsidP="00244118">
      <w:pPr>
        <w:pStyle w:val="23"/>
        <w:spacing w:after="0" w:line="240" w:lineRule="auto"/>
        <w:ind w:firstLine="708"/>
        <w:jc w:val="both"/>
        <w:rPr>
          <w:rFonts w:ascii="Times New Roman" w:hAnsi="Times New Roman"/>
          <w:sz w:val="36"/>
          <w:szCs w:val="36"/>
        </w:rPr>
      </w:pPr>
      <w:r w:rsidRPr="00244118">
        <w:rPr>
          <w:rFonts w:ascii="Times New Roman" w:hAnsi="Times New Roman"/>
          <w:sz w:val="36"/>
          <w:szCs w:val="36"/>
        </w:rPr>
        <w:t xml:space="preserve">Какие тогда обязательства будут у обоих сторон?  </w:t>
      </w:r>
    </w:p>
    <w:p w:rsidR="00244118" w:rsidRDefault="00244118" w:rsidP="00244118">
      <w:pPr>
        <w:pStyle w:val="23"/>
        <w:spacing w:after="0" w:line="240" w:lineRule="auto"/>
        <w:ind w:firstLine="708"/>
        <w:jc w:val="both"/>
        <w:rPr>
          <w:rFonts w:ascii="Times New Roman" w:hAnsi="Times New Roman"/>
          <w:sz w:val="36"/>
          <w:szCs w:val="36"/>
        </w:rPr>
      </w:pPr>
      <w:r w:rsidRPr="00244118">
        <w:rPr>
          <w:rFonts w:ascii="Times New Roman" w:hAnsi="Times New Roman"/>
          <w:sz w:val="36"/>
          <w:szCs w:val="36"/>
        </w:rPr>
        <w:t>И как безвозмездную передачу помещения учитывать в учете, как поступления пожертвований в сумме рыночной стоимости аренды или</w:t>
      </w:r>
      <w:r w:rsidR="001C57E2">
        <w:rPr>
          <w:rFonts w:ascii="Times New Roman" w:hAnsi="Times New Roman"/>
          <w:sz w:val="36"/>
          <w:szCs w:val="36"/>
        </w:rPr>
        <w:t xml:space="preserve"> </w:t>
      </w:r>
      <w:r w:rsidRPr="00244118">
        <w:rPr>
          <w:rFonts w:ascii="Times New Roman" w:hAnsi="Times New Roman"/>
          <w:sz w:val="36"/>
          <w:szCs w:val="36"/>
        </w:rPr>
        <w:t>это будет считаться доходом? </w:t>
      </w:r>
    </w:p>
    <w:p w:rsidR="00424AE4" w:rsidRDefault="00424AE4" w:rsidP="00244118">
      <w:pPr>
        <w:pStyle w:val="23"/>
        <w:spacing w:after="0" w:line="240" w:lineRule="auto"/>
        <w:ind w:firstLine="708"/>
        <w:jc w:val="both"/>
        <w:rPr>
          <w:rFonts w:ascii="Times New Roman" w:hAnsi="Times New Roman"/>
          <w:sz w:val="36"/>
          <w:szCs w:val="36"/>
        </w:rPr>
      </w:pPr>
    </w:p>
    <w:p w:rsidR="00AF5CF3" w:rsidRPr="001C57E2" w:rsidRDefault="00AF5CF3" w:rsidP="00AF5CF3">
      <w:pPr>
        <w:pStyle w:val="23"/>
        <w:spacing w:after="0" w:line="240" w:lineRule="auto"/>
        <w:ind w:firstLine="708"/>
        <w:jc w:val="both"/>
        <w:rPr>
          <w:rFonts w:ascii="Times New Roman" w:hAnsi="Times New Roman"/>
          <w:b/>
          <w:bCs/>
          <w:sz w:val="28"/>
          <w:szCs w:val="28"/>
        </w:rPr>
      </w:pPr>
      <w:r w:rsidRPr="00AF5CF3">
        <w:rPr>
          <w:rFonts w:ascii="Times New Roman" w:hAnsi="Times New Roman"/>
          <w:b/>
          <w:bCs/>
          <w:sz w:val="28"/>
          <w:szCs w:val="28"/>
        </w:rPr>
        <w:t xml:space="preserve">"Налоговый кодекс Российской Федерации (часть вторая)" от 05.08.2000 </w:t>
      </w:r>
      <w:r w:rsidR="001C57E2" w:rsidRPr="001C57E2">
        <w:rPr>
          <w:rFonts w:ascii="Times New Roman" w:hAnsi="Times New Roman"/>
          <w:b/>
          <w:bCs/>
          <w:sz w:val="28"/>
          <w:szCs w:val="28"/>
        </w:rPr>
        <w:t>№</w:t>
      </w:r>
      <w:r w:rsidRPr="00AF5CF3">
        <w:rPr>
          <w:rFonts w:ascii="Times New Roman" w:hAnsi="Times New Roman"/>
          <w:b/>
          <w:bCs/>
          <w:sz w:val="28"/>
          <w:szCs w:val="28"/>
        </w:rPr>
        <w:t xml:space="preserve"> 117-ФЗ</w:t>
      </w:r>
    </w:p>
    <w:p w:rsidR="00AF5CF3" w:rsidRDefault="00AF5CF3" w:rsidP="00AF5CF3">
      <w:pPr>
        <w:pStyle w:val="23"/>
        <w:spacing w:after="0" w:line="240" w:lineRule="auto"/>
        <w:ind w:firstLine="708"/>
        <w:jc w:val="both"/>
        <w:rPr>
          <w:rFonts w:ascii="Times New Roman" w:hAnsi="Times New Roman"/>
          <w:sz w:val="28"/>
          <w:szCs w:val="28"/>
        </w:rPr>
      </w:pPr>
    </w:p>
    <w:p w:rsid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Глава 25. НАЛОГ НА ПРИБЫЛЬ ОРГАНИЗАЦИЙ</w:t>
      </w:r>
    </w:p>
    <w:p w:rsidR="00AF5CF3" w:rsidRDefault="00AF5CF3" w:rsidP="00AF5CF3">
      <w:pPr>
        <w:pStyle w:val="23"/>
        <w:spacing w:after="0" w:line="240" w:lineRule="auto"/>
        <w:ind w:firstLine="708"/>
        <w:jc w:val="both"/>
        <w:rPr>
          <w:rFonts w:ascii="Times New Roman" w:hAnsi="Times New Roman"/>
          <w:sz w:val="28"/>
          <w:szCs w:val="28"/>
        </w:rPr>
      </w:pPr>
    </w:p>
    <w:p w:rsid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Статья 251. Доходы, не учитываемые при определении налоговой базы</w:t>
      </w:r>
    </w:p>
    <w:p w:rsidR="00AF5CF3" w:rsidRDefault="00AF5CF3" w:rsidP="00AF5CF3">
      <w:pPr>
        <w:pStyle w:val="23"/>
        <w:spacing w:after="0" w:line="240" w:lineRule="auto"/>
        <w:ind w:firstLine="708"/>
        <w:jc w:val="both"/>
        <w:rPr>
          <w:rFonts w:ascii="Times New Roman" w:hAnsi="Times New Roman"/>
          <w:sz w:val="28"/>
          <w:szCs w:val="28"/>
        </w:rPr>
      </w:pPr>
    </w:p>
    <w:p w:rsid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 xml:space="preserve">2. При определении налоговой базы также не учитываются целевые поступления (за исключением целевых поступлений в виде подакцизных товаров). К ним относятся целевые поступления на содержание некоммерческих организаций и ведение ими уставной деятельности, </w:t>
      </w:r>
      <w:r w:rsidRPr="00AF5CF3">
        <w:rPr>
          <w:rFonts w:ascii="Times New Roman" w:hAnsi="Times New Roman"/>
          <w:sz w:val="28"/>
          <w:szCs w:val="28"/>
        </w:rPr>
        <w:lastRenderedPageBreak/>
        <w:t>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 При этом налогоплательщики - получатели указанных целевых поступлений обязаны вести раздельный учет доходов (расходов), полученных (понес</w:t>
      </w:r>
      <w:r>
        <w:rPr>
          <w:rFonts w:ascii="Times New Roman" w:hAnsi="Times New Roman"/>
          <w:sz w:val="28"/>
          <w:szCs w:val="28"/>
        </w:rPr>
        <w:t>ё</w:t>
      </w:r>
      <w:r w:rsidRPr="00AF5CF3">
        <w:rPr>
          <w:rFonts w:ascii="Times New Roman" w:hAnsi="Times New Roman"/>
          <w:sz w:val="28"/>
          <w:szCs w:val="28"/>
        </w:rPr>
        <w:t>нных) в рамках целевых поступлений.</w:t>
      </w:r>
    </w:p>
    <w:p w:rsidR="00AF5CF3" w:rsidRP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К целевым поступлениям на содержание некоммерческих организаций и ведение ими уставной деятельности относятся:</w:t>
      </w:r>
    </w:p>
    <w:p w:rsid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16) имущественные права в виде права безвозмездного пользования имуществом, полученные некоммерческими организациями на ведение ими уставной деятельности</w:t>
      </w:r>
      <w:r>
        <w:rPr>
          <w:rFonts w:ascii="Times New Roman" w:hAnsi="Times New Roman"/>
          <w:sz w:val="28"/>
          <w:szCs w:val="28"/>
        </w:rPr>
        <w:t>.</w:t>
      </w:r>
    </w:p>
    <w:p w:rsidR="00AF5CF3" w:rsidRDefault="00AF5CF3" w:rsidP="00AF5CF3">
      <w:pPr>
        <w:pStyle w:val="23"/>
        <w:spacing w:after="0" w:line="240" w:lineRule="auto"/>
        <w:ind w:firstLine="708"/>
        <w:jc w:val="both"/>
        <w:rPr>
          <w:rFonts w:ascii="Times New Roman" w:hAnsi="Times New Roman"/>
          <w:sz w:val="28"/>
          <w:szCs w:val="28"/>
        </w:rPr>
      </w:pPr>
    </w:p>
    <w:p w:rsidR="00AF5CF3" w:rsidRPr="007A1B02" w:rsidRDefault="00AF5CF3" w:rsidP="00AF5CF3">
      <w:pPr>
        <w:pStyle w:val="23"/>
        <w:spacing w:after="0" w:line="240" w:lineRule="auto"/>
        <w:ind w:firstLine="708"/>
        <w:jc w:val="both"/>
        <w:rPr>
          <w:rFonts w:ascii="Times New Roman" w:hAnsi="Times New Roman"/>
          <w:sz w:val="28"/>
          <w:szCs w:val="28"/>
        </w:rPr>
      </w:pPr>
      <w:r w:rsidRPr="007A1B02">
        <w:rPr>
          <w:rFonts w:ascii="Times New Roman" w:hAnsi="Times New Roman"/>
          <w:sz w:val="28"/>
          <w:szCs w:val="28"/>
        </w:rPr>
        <w:t>Налоговая декларация по налогу на прибыль организаций (КНД 1151006)</w:t>
      </w:r>
    </w:p>
    <w:p w:rsid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Лист 07 "Отчет о целевом использовании имущества (денежных средств)"</w:t>
      </w:r>
    </w:p>
    <w:p w:rsidR="00AF5CF3" w:rsidRP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Коды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r>
        <w:rPr>
          <w:rFonts w:ascii="Times New Roman" w:hAnsi="Times New Roman"/>
          <w:sz w:val="28"/>
          <w:szCs w:val="28"/>
        </w:rPr>
        <w:t xml:space="preserve"> (</w:t>
      </w:r>
      <w:r w:rsidRPr="00AF5CF3">
        <w:rPr>
          <w:rFonts w:ascii="Times New Roman" w:hAnsi="Times New Roman"/>
          <w:sz w:val="28"/>
          <w:szCs w:val="28"/>
        </w:rPr>
        <w:t xml:space="preserve">Приложение </w:t>
      </w:r>
      <w:r>
        <w:rPr>
          <w:rFonts w:ascii="Times New Roman" w:hAnsi="Times New Roman"/>
          <w:sz w:val="28"/>
          <w:szCs w:val="28"/>
        </w:rPr>
        <w:t>№</w:t>
      </w:r>
      <w:r w:rsidRPr="00AF5CF3">
        <w:rPr>
          <w:rFonts w:ascii="Times New Roman" w:hAnsi="Times New Roman"/>
          <w:sz w:val="28"/>
          <w:szCs w:val="28"/>
        </w:rPr>
        <w:t xml:space="preserve"> 2</w:t>
      </w:r>
      <w:r>
        <w:rPr>
          <w:rFonts w:ascii="Times New Roman" w:hAnsi="Times New Roman"/>
          <w:sz w:val="28"/>
          <w:szCs w:val="28"/>
        </w:rPr>
        <w:t xml:space="preserve"> </w:t>
      </w:r>
      <w:r w:rsidRPr="00AF5CF3">
        <w:rPr>
          <w:rFonts w:ascii="Times New Roman" w:hAnsi="Times New Roman"/>
          <w:sz w:val="28"/>
          <w:szCs w:val="28"/>
        </w:rPr>
        <w:t>к Порядку заполнения декларации</w:t>
      </w:r>
      <w:r>
        <w:rPr>
          <w:rFonts w:ascii="Times New Roman" w:hAnsi="Times New Roman"/>
          <w:sz w:val="28"/>
          <w:szCs w:val="28"/>
        </w:rPr>
        <w:t xml:space="preserve"> </w:t>
      </w:r>
      <w:r w:rsidRPr="00AF5CF3">
        <w:rPr>
          <w:rFonts w:ascii="Times New Roman" w:hAnsi="Times New Roman"/>
          <w:sz w:val="28"/>
          <w:szCs w:val="28"/>
        </w:rPr>
        <w:t>по налогу на прибыль организаций,</w:t>
      </w:r>
      <w:r>
        <w:rPr>
          <w:rFonts w:ascii="Times New Roman" w:hAnsi="Times New Roman"/>
          <w:sz w:val="28"/>
          <w:szCs w:val="28"/>
        </w:rPr>
        <w:t xml:space="preserve"> </w:t>
      </w:r>
      <w:r w:rsidRPr="00AF5CF3">
        <w:rPr>
          <w:rFonts w:ascii="Times New Roman" w:hAnsi="Times New Roman"/>
          <w:sz w:val="28"/>
          <w:szCs w:val="28"/>
        </w:rPr>
        <w:t>утвержденному приказом ФНС России</w:t>
      </w:r>
      <w:r>
        <w:rPr>
          <w:rFonts w:ascii="Times New Roman" w:hAnsi="Times New Roman"/>
          <w:sz w:val="28"/>
          <w:szCs w:val="28"/>
        </w:rPr>
        <w:t xml:space="preserve"> </w:t>
      </w:r>
      <w:r w:rsidRPr="00AF5CF3">
        <w:rPr>
          <w:rFonts w:ascii="Times New Roman" w:hAnsi="Times New Roman"/>
          <w:sz w:val="28"/>
          <w:szCs w:val="28"/>
        </w:rPr>
        <w:t>от 02.10.2024 N ЕД-7-3/830@</w:t>
      </w:r>
      <w:r>
        <w:rPr>
          <w:rFonts w:ascii="Times New Roman" w:hAnsi="Times New Roman"/>
          <w:sz w:val="28"/>
          <w:szCs w:val="28"/>
        </w:rPr>
        <w:t>)</w:t>
      </w:r>
    </w:p>
    <w:p w:rsidR="00AF5CF3" w:rsidRP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324</w:t>
      </w:r>
      <w:r>
        <w:rPr>
          <w:rFonts w:ascii="Times New Roman" w:hAnsi="Times New Roman"/>
          <w:sz w:val="28"/>
          <w:szCs w:val="28"/>
        </w:rPr>
        <w:t xml:space="preserve"> – </w:t>
      </w:r>
      <w:r w:rsidRPr="00AF5CF3">
        <w:rPr>
          <w:rFonts w:ascii="Times New Roman" w:hAnsi="Times New Roman"/>
          <w:sz w:val="28"/>
          <w:szCs w:val="28"/>
        </w:rPr>
        <w:t>имущественные права в виде права безвозмездного пользования имуществом, полученные некоммерческими организациями на ведение ими уставной деятельности (подпункт 16 пункта 2 статьи 251 Кодекса)</w:t>
      </w:r>
    </w:p>
    <w:p w:rsidR="00AF5CF3" w:rsidRDefault="00AF5CF3" w:rsidP="00AF5CF3">
      <w:pPr>
        <w:pStyle w:val="23"/>
        <w:spacing w:after="0" w:line="240" w:lineRule="auto"/>
        <w:ind w:firstLine="708"/>
        <w:jc w:val="both"/>
        <w:rPr>
          <w:rFonts w:ascii="Times New Roman" w:hAnsi="Times New Roman"/>
          <w:sz w:val="28"/>
          <w:szCs w:val="28"/>
        </w:rPr>
      </w:pPr>
    </w:p>
    <w:p w:rsidR="00C87C33" w:rsidRDefault="00C87C33" w:rsidP="00C87C33">
      <w:pPr>
        <w:pStyle w:val="23"/>
        <w:spacing w:after="0" w:line="240" w:lineRule="auto"/>
        <w:ind w:firstLine="708"/>
        <w:jc w:val="both"/>
        <w:rPr>
          <w:rFonts w:ascii="Times New Roman" w:hAnsi="Times New Roman"/>
          <w:sz w:val="28"/>
          <w:szCs w:val="28"/>
        </w:rPr>
      </w:pPr>
      <w:r>
        <w:rPr>
          <w:rFonts w:ascii="Times New Roman" w:hAnsi="Times New Roman"/>
          <w:sz w:val="28"/>
          <w:szCs w:val="28"/>
        </w:rPr>
        <w:t>Н</w:t>
      </w:r>
      <w:r w:rsidRPr="00C87C33">
        <w:rPr>
          <w:rFonts w:ascii="Times New Roman" w:hAnsi="Times New Roman"/>
          <w:sz w:val="28"/>
          <w:szCs w:val="28"/>
        </w:rPr>
        <w:t>алогов</w:t>
      </w:r>
      <w:r>
        <w:rPr>
          <w:rFonts w:ascii="Times New Roman" w:hAnsi="Times New Roman"/>
          <w:sz w:val="28"/>
          <w:szCs w:val="28"/>
        </w:rPr>
        <w:t>ая</w:t>
      </w:r>
      <w:r w:rsidRPr="00C87C33">
        <w:rPr>
          <w:rFonts w:ascii="Times New Roman" w:hAnsi="Times New Roman"/>
          <w:sz w:val="28"/>
          <w:szCs w:val="28"/>
        </w:rPr>
        <w:t xml:space="preserve"> деклараци</w:t>
      </w:r>
      <w:r>
        <w:rPr>
          <w:rFonts w:ascii="Times New Roman" w:hAnsi="Times New Roman"/>
          <w:sz w:val="28"/>
          <w:szCs w:val="28"/>
        </w:rPr>
        <w:t>я</w:t>
      </w:r>
      <w:r w:rsidRPr="00C87C33">
        <w:rPr>
          <w:rFonts w:ascii="Times New Roman" w:hAnsi="Times New Roman"/>
          <w:sz w:val="28"/>
          <w:szCs w:val="28"/>
        </w:rPr>
        <w:t xml:space="preserve"> по налогу, уплачиваемому в связи с применением упрощенной системы налогообложения</w:t>
      </w:r>
      <w:r>
        <w:rPr>
          <w:rFonts w:ascii="Times New Roman" w:hAnsi="Times New Roman"/>
          <w:sz w:val="28"/>
          <w:szCs w:val="28"/>
        </w:rPr>
        <w:t xml:space="preserve"> (ф</w:t>
      </w:r>
      <w:r w:rsidRPr="00C87C33">
        <w:rPr>
          <w:rFonts w:ascii="Times New Roman" w:hAnsi="Times New Roman"/>
          <w:sz w:val="28"/>
          <w:szCs w:val="28"/>
        </w:rPr>
        <w:t>орма по КНД 1152017</w:t>
      </w:r>
      <w:r>
        <w:rPr>
          <w:rFonts w:ascii="Times New Roman" w:hAnsi="Times New Roman"/>
          <w:sz w:val="28"/>
          <w:szCs w:val="28"/>
        </w:rPr>
        <w:t>)</w:t>
      </w:r>
    </w:p>
    <w:p w:rsidR="00C87C33" w:rsidRPr="00C87C33" w:rsidRDefault="00C87C33" w:rsidP="00C87C33">
      <w:pPr>
        <w:pStyle w:val="23"/>
        <w:spacing w:after="0" w:line="240" w:lineRule="auto"/>
        <w:ind w:firstLine="708"/>
        <w:jc w:val="both"/>
        <w:rPr>
          <w:rFonts w:ascii="Times New Roman" w:hAnsi="Times New Roman"/>
          <w:sz w:val="28"/>
          <w:szCs w:val="28"/>
        </w:rPr>
      </w:pPr>
      <w:r>
        <w:rPr>
          <w:rFonts w:ascii="Times New Roman" w:hAnsi="Times New Roman"/>
          <w:sz w:val="28"/>
          <w:szCs w:val="28"/>
        </w:rPr>
        <w:t>Р</w:t>
      </w:r>
      <w:r w:rsidRPr="00C87C33">
        <w:rPr>
          <w:rFonts w:ascii="Times New Roman" w:hAnsi="Times New Roman"/>
          <w:sz w:val="28"/>
          <w:szCs w:val="28"/>
        </w:rPr>
        <w:t>аздел 3 "Отчет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p>
    <w:p w:rsidR="00AF5CF3" w:rsidRPr="00AF5CF3" w:rsidRDefault="00AF5CF3" w:rsidP="00AF5CF3">
      <w:pPr>
        <w:pStyle w:val="23"/>
        <w:spacing w:after="0" w:line="240" w:lineRule="auto"/>
        <w:ind w:firstLine="708"/>
        <w:jc w:val="both"/>
        <w:rPr>
          <w:rFonts w:ascii="Times New Roman" w:hAnsi="Times New Roman"/>
          <w:sz w:val="28"/>
          <w:szCs w:val="28"/>
        </w:rPr>
      </w:pPr>
      <w:r w:rsidRPr="00AF5CF3">
        <w:rPr>
          <w:rFonts w:ascii="Times New Roman" w:hAnsi="Times New Roman"/>
          <w:sz w:val="28"/>
          <w:szCs w:val="28"/>
        </w:rPr>
        <w:t>Коды видов поступления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r>
        <w:rPr>
          <w:rFonts w:ascii="Times New Roman" w:hAnsi="Times New Roman"/>
          <w:sz w:val="28"/>
          <w:szCs w:val="28"/>
        </w:rPr>
        <w:t xml:space="preserve"> (</w:t>
      </w:r>
      <w:r w:rsidRPr="00AF5CF3">
        <w:rPr>
          <w:rFonts w:ascii="Times New Roman" w:hAnsi="Times New Roman"/>
          <w:sz w:val="28"/>
          <w:szCs w:val="28"/>
        </w:rPr>
        <w:t>Приложение N 6</w:t>
      </w:r>
      <w:r>
        <w:rPr>
          <w:rFonts w:ascii="Times New Roman" w:hAnsi="Times New Roman"/>
          <w:sz w:val="28"/>
          <w:szCs w:val="28"/>
        </w:rPr>
        <w:t xml:space="preserve"> </w:t>
      </w:r>
      <w:r w:rsidRPr="00AF5CF3">
        <w:rPr>
          <w:rFonts w:ascii="Times New Roman" w:hAnsi="Times New Roman"/>
          <w:sz w:val="28"/>
          <w:szCs w:val="28"/>
        </w:rPr>
        <w:t>к Порядку заполнения налоговой</w:t>
      </w:r>
      <w:r>
        <w:rPr>
          <w:rFonts w:ascii="Times New Roman" w:hAnsi="Times New Roman"/>
          <w:sz w:val="28"/>
          <w:szCs w:val="28"/>
        </w:rPr>
        <w:t xml:space="preserve"> </w:t>
      </w:r>
      <w:r w:rsidRPr="00AF5CF3">
        <w:rPr>
          <w:rFonts w:ascii="Times New Roman" w:hAnsi="Times New Roman"/>
          <w:sz w:val="28"/>
          <w:szCs w:val="28"/>
        </w:rPr>
        <w:t>декларации по налогу, уплачиваемому</w:t>
      </w:r>
      <w:r>
        <w:rPr>
          <w:rFonts w:ascii="Times New Roman" w:hAnsi="Times New Roman"/>
          <w:sz w:val="28"/>
          <w:szCs w:val="28"/>
        </w:rPr>
        <w:t xml:space="preserve"> </w:t>
      </w:r>
      <w:r w:rsidRPr="00AF5CF3">
        <w:rPr>
          <w:rFonts w:ascii="Times New Roman" w:hAnsi="Times New Roman"/>
          <w:sz w:val="28"/>
          <w:szCs w:val="28"/>
        </w:rPr>
        <w:t>в связи с применением упрощенной</w:t>
      </w:r>
      <w:r>
        <w:rPr>
          <w:rFonts w:ascii="Times New Roman" w:hAnsi="Times New Roman"/>
          <w:sz w:val="28"/>
          <w:szCs w:val="28"/>
        </w:rPr>
        <w:t xml:space="preserve"> </w:t>
      </w:r>
      <w:r w:rsidRPr="00AF5CF3">
        <w:rPr>
          <w:rFonts w:ascii="Times New Roman" w:hAnsi="Times New Roman"/>
          <w:sz w:val="28"/>
          <w:szCs w:val="28"/>
        </w:rPr>
        <w:t>системы налогообложения,</w:t>
      </w:r>
      <w:r>
        <w:rPr>
          <w:rFonts w:ascii="Times New Roman" w:hAnsi="Times New Roman"/>
          <w:sz w:val="28"/>
          <w:szCs w:val="28"/>
        </w:rPr>
        <w:t xml:space="preserve"> </w:t>
      </w:r>
      <w:r w:rsidRPr="00AF5CF3">
        <w:rPr>
          <w:rFonts w:ascii="Times New Roman" w:hAnsi="Times New Roman"/>
          <w:sz w:val="28"/>
          <w:szCs w:val="28"/>
        </w:rPr>
        <w:t>утвержд</w:t>
      </w:r>
      <w:r w:rsidR="00C87C33">
        <w:rPr>
          <w:rFonts w:ascii="Times New Roman" w:hAnsi="Times New Roman"/>
          <w:sz w:val="28"/>
          <w:szCs w:val="28"/>
        </w:rPr>
        <w:t>ё</w:t>
      </w:r>
      <w:r w:rsidRPr="00AF5CF3">
        <w:rPr>
          <w:rFonts w:ascii="Times New Roman" w:hAnsi="Times New Roman"/>
          <w:sz w:val="28"/>
          <w:szCs w:val="28"/>
        </w:rPr>
        <w:t>нному приказом ФНС России</w:t>
      </w:r>
      <w:r>
        <w:rPr>
          <w:rFonts w:ascii="Times New Roman" w:hAnsi="Times New Roman"/>
          <w:sz w:val="28"/>
          <w:szCs w:val="28"/>
        </w:rPr>
        <w:t xml:space="preserve"> </w:t>
      </w:r>
      <w:r w:rsidRPr="00AF5CF3">
        <w:rPr>
          <w:rFonts w:ascii="Times New Roman" w:hAnsi="Times New Roman"/>
          <w:sz w:val="28"/>
          <w:szCs w:val="28"/>
        </w:rPr>
        <w:t>от 02.10.2024 N ЕД-7-3/813@</w:t>
      </w:r>
      <w:r>
        <w:rPr>
          <w:rFonts w:ascii="Times New Roman" w:hAnsi="Times New Roman"/>
          <w:sz w:val="28"/>
          <w:szCs w:val="28"/>
        </w:rPr>
        <w:t>).</w:t>
      </w:r>
    </w:p>
    <w:p w:rsidR="00244118" w:rsidRPr="00244118" w:rsidRDefault="00244118" w:rsidP="00244118">
      <w:pPr>
        <w:pStyle w:val="23"/>
        <w:spacing w:after="0" w:line="240" w:lineRule="auto"/>
        <w:ind w:firstLine="708"/>
        <w:jc w:val="both"/>
        <w:rPr>
          <w:rFonts w:ascii="Times New Roman" w:hAnsi="Times New Roman"/>
          <w:sz w:val="36"/>
          <w:szCs w:val="36"/>
        </w:rPr>
      </w:pPr>
      <w:r w:rsidRPr="00244118">
        <w:rPr>
          <w:rFonts w:ascii="Times New Roman" w:hAnsi="Times New Roman"/>
          <w:sz w:val="36"/>
          <w:szCs w:val="36"/>
        </w:rPr>
        <w:t> </w:t>
      </w:r>
    </w:p>
    <w:p w:rsidR="00244118" w:rsidRPr="00424AE4" w:rsidRDefault="00383329" w:rsidP="00244118">
      <w:pPr>
        <w:pStyle w:val="23"/>
        <w:spacing w:after="0" w:line="240" w:lineRule="auto"/>
        <w:ind w:firstLine="708"/>
        <w:jc w:val="both"/>
        <w:rPr>
          <w:rFonts w:ascii="Times New Roman" w:hAnsi="Times New Roman"/>
          <w:b/>
          <w:bCs/>
          <w:sz w:val="36"/>
          <w:szCs w:val="36"/>
        </w:rPr>
      </w:pPr>
      <w:r w:rsidRPr="00424AE4">
        <w:rPr>
          <w:rFonts w:ascii="Times New Roman" w:hAnsi="Times New Roman"/>
          <w:b/>
          <w:bCs/>
          <w:sz w:val="36"/>
          <w:szCs w:val="36"/>
        </w:rPr>
        <w:t xml:space="preserve">5. </w:t>
      </w:r>
      <w:r w:rsidR="00244118" w:rsidRPr="00424AE4">
        <w:rPr>
          <w:rFonts w:ascii="Times New Roman" w:hAnsi="Times New Roman"/>
          <w:b/>
          <w:bCs/>
          <w:sz w:val="36"/>
          <w:szCs w:val="36"/>
        </w:rPr>
        <w:t>Татьяна А.</w:t>
      </w:r>
    </w:p>
    <w:p w:rsidR="0051747F" w:rsidRPr="00424AE4" w:rsidRDefault="0051747F" w:rsidP="0051747F">
      <w:pPr>
        <w:pStyle w:val="23"/>
        <w:spacing w:after="0" w:line="240" w:lineRule="auto"/>
        <w:ind w:firstLine="708"/>
        <w:jc w:val="both"/>
        <w:rPr>
          <w:rFonts w:ascii="Times New Roman" w:hAnsi="Times New Roman"/>
          <w:color w:val="00B050"/>
          <w:sz w:val="36"/>
          <w:szCs w:val="36"/>
        </w:rPr>
      </w:pPr>
      <w:r w:rsidRPr="00424AE4">
        <w:rPr>
          <w:rFonts w:ascii="Times New Roman" w:hAnsi="Times New Roman"/>
          <w:color w:val="00B050"/>
          <w:sz w:val="36"/>
          <w:szCs w:val="36"/>
        </w:rPr>
        <w:t>ГАМОЛЬСКИЙ</w:t>
      </w:r>
    </w:p>
    <w:p w:rsidR="001A1FCF" w:rsidRDefault="00244118" w:rsidP="0051747F">
      <w:pPr>
        <w:pStyle w:val="23"/>
        <w:spacing w:after="0" w:line="240" w:lineRule="auto"/>
        <w:ind w:firstLine="708"/>
        <w:jc w:val="both"/>
        <w:rPr>
          <w:rFonts w:ascii="Times New Roman" w:hAnsi="Times New Roman"/>
          <w:sz w:val="36"/>
          <w:szCs w:val="36"/>
        </w:rPr>
      </w:pPr>
      <w:r w:rsidRPr="00244118">
        <w:rPr>
          <w:rFonts w:ascii="Times New Roman" w:hAnsi="Times New Roman"/>
          <w:sz w:val="36"/>
          <w:szCs w:val="36"/>
        </w:rPr>
        <w:t xml:space="preserve">С 1 марта моя организация стала официальным исполнителем муниципальных услуг в </w:t>
      </w:r>
      <w:r w:rsidRPr="00244118">
        <w:rPr>
          <w:rFonts w:ascii="Times New Roman" w:hAnsi="Times New Roman"/>
          <w:sz w:val="36"/>
          <w:szCs w:val="36"/>
        </w:rPr>
        <w:lastRenderedPageBreak/>
        <w:t>социальной сфере, с Администрацией района подписано Соглашение. Теперь дети, которые посещают мо</w:t>
      </w:r>
      <w:r w:rsidR="0051747F">
        <w:rPr>
          <w:rFonts w:ascii="Times New Roman" w:hAnsi="Times New Roman"/>
          <w:sz w:val="36"/>
          <w:szCs w:val="36"/>
        </w:rPr>
        <w:t>ю</w:t>
      </w:r>
      <w:r w:rsidRPr="00244118">
        <w:rPr>
          <w:rFonts w:ascii="Times New Roman" w:hAnsi="Times New Roman"/>
          <w:sz w:val="36"/>
          <w:szCs w:val="36"/>
        </w:rPr>
        <w:t xml:space="preserve"> НКО</w:t>
      </w:r>
      <w:r w:rsidR="0051747F">
        <w:rPr>
          <w:rFonts w:ascii="Times New Roman" w:hAnsi="Times New Roman"/>
          <w:sz w:val="36"/>
          <w:szCs w:val="36"/>
        </w:rPr>
        <w:t>,</w:t>
      </w:r>
      <w:r w:rsidRPr="00244118">
        <w:rPr>
          <w:rFonts w:ascii="Times New Roman" w:hAnsi="Times New Roman"/>
          <w:sz w:val="36"/>
          <w:szCs w:val="36"/>
        </w:rPr>
        <w:t xml:space="preserve"> занимаются по сертификатам. Страховые выплаты «душат»</w:t>
      </w:r>
      <w:r w:rsidR="0051747F">
        <w:rPr>
          <w:rFonts w:ascii="Times New Roman" w:hAnsi="Times New Roman"/>
          <w:sz w:val="36"/>
          <w:szCs w:val="36"/>
        </w:rPr>
        <w:t>. П</w:t>
      </w:r>
      <w:r w:rsidRPr="00244118">
        <w:rPr>
          <w:rFonts w:ascii="Times New Roman" w:hAnsi="Times New Roman"/>
          <w:sz w:val="36"/>
          <w:szCs w:val="36"/>
        </w:rPr>
        <w:t>ри каких условиях организация может перейти на 7,</w:t>
      </w:r>
      <w:r w:rsidR="0051747F">
        <w:rPr>
          <w:rFonts w:ascii="Times New Roman" w:hAnsi="Times New Roman"/>
          <w:sz w:val="36"/>
          <w:szCs w:val="36"/>
        </w:rPr>
        <w:t>6</w:t>
      </w:r>
      <w:r w:rsidRPr="00244118">
        <w:rPr>
          <w:rFonts w:ascii="Times New Roman" w:hAnsi="Times New Roman"/>
          <w:sz w:val="36"/>
          <w:szCs w:val="36"/>
        </w:rPr>
        <w:t>% по страховым выплатам?</w:t>
      </w:r>
    </w:p>
    <w:p w:rsidR="00424AE4" w:rsidRDefault="00424AE4" w:rsidP="0051747F">
      <w:pPr>
        <w:pStyle w:val="23"/>
        <w:spacing w:after="0" w:line="240" w:lineRule="auto"/>
        <w:ind w:firstLine="708"/>
        <w:jc w:val="both"/>
        <w:rPr>
          <w:rFonts w:ascii="Times New Roman" w:hAnsi="Times New Roman"/>
          <w:sz w:val="28"/>
          <w:szCs w:val="28"/>
        </w:rPr>
      </w:pPr>
    </w:p>
    <w:p w:rsidR="00424AE4" w:rsidRPr="001C57E2"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b/>
          <w:bCs/>
          <w:sz w:val="24"/>
          <w:szCs w:val="24"/>
        </w:rPr>
      </w:pPr>
      <w:r w:rsidRPr="001C57E2">
        <w:rPr>
          <w:rFonts w:ascii="Times New Roman" w:eastAsia="Times New Roman" w:hAnsi="Times New Roman" w:cs="Times New Roman"/>
          <w:b/>
          <w:bCs/>
          <w:sz w:val="24"/>
          <w:szCs w:val="24"/>
        </w:rPr>
        <w:t>"Налоговый кодекс Российской Федерации (часть вторая)" от 05.08.2000 № 117-ФЗ</w:t>
      </w: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Глава 34. СТРАХОВЫЕ ВЗНОСЫ</w:t>
      </w: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cs="Times New Roman"/>
          <w:sz w:val="24"/>
          <w:szCs w:val="24"/>
        </w:rPr>
      </w:pPr>
    </w:p>
    <w:p w:rsidR="00424AE4" w:rsidRPr="009E038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9E0387">
        <w:rPr>
          <w:rFonts w:ascii="Times New Roman" w:eastAsia="Times New Roman" w:hAnsi="Times New Roman" w:cs="Times New Roman"/>
          <w:sz w:val="24"/>
          <w:szCs w:val="24"/>
        </w:rPr>
        <w:t>Статья 427. Пониженные тарифы страховых взносов</w:t>
      </w:r>
    </w:p>
    <w:p w:rsidR="00424AE4" w:rsidRPr="009E038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9E0387">
        <w:rPr>
          <w:rFonts w:ascii="Times New Roman" w:eastAsia="Times New Roman" w:hAnsi="Times New Roman" w:cs="Times New Roman"/>
          <w:sz w:val="24"/>
          <w:szCs w:val="24"/>
        </w:rPr>
        <w:t>1. Пониженные тарифы страховых взносов для плательщиков, указанных в подпункте 1 пункта 1 статьи 419 настоящего Кодекса, применяются:</w:t>
      </w:r>
    </w:p>
    <w:p w:rsidR="00424AE4" w:rsidRPr="009E038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9E0387">
        <w:rPr>
          <w:rFonts w:ascii="Times New Roman" w:eastAsia="Times New Roman" w:hAnsi="Times New Roman" w:cs="Times New Roman"/>
          <w:sz w:val="24"/>
          <w:szCs w:val="24"/>
        </w:rPr>
        <w:t>7)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9E0387">
        <w:rPr>
          <w:rFonts w:ascii="Times New Roman" w:eastAsia="Times New Roman" w:hAnsi="Times New Roman" w:cs="Times New Roman"/>
          <w:sz w:val="24"/>
          <w:szCs w:val="24"/>
        </w:rPr>
        <w:t>8) для благотворительных организаций, зарегистрированных в установленном законодательством Российской Федерации порядке и применяющих упрощенную систему налогообложения;</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7. Плательщики, указанные в подпункте 7 пункта 1 настоящей статьи, применяют пониженные тарифы страховых взносов, предусмотренные подпунктом 3 пункта 2, пунктом 2.2 настоящей статьи, при условии, что по итогам года, предшествующего году перехода организации на уплату страховых взносов по таким тарифам, не менее 70 процентов суммы всех доходов организации за указанный период составляют в совокупности следующие виды доходов:</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доходы в виде целевых поступлений на содержание некоммерческих организаций и ведение ими уставной деятельности в соответствии с подпунктом 7 пункта 1 настоящей статьи, определяемых в соответствии с пунктом 2 статьи 251 настоящего Кодекса (далее - целевые поступления);</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B69F7">
        <w:rPr>
          <w:rFonts w:ascii="Times New Roman" w:eastAsia="Times New Roman" w:hAnsi="Times New Roman" w:cs="Times New Roman"/>
          <w:sz w:val="24"/>
          <w:szCs w:val="24"/>
        </w:rPr>
        <w:t>оходы в виде грантов, получаемых для осуществления деятельности в соответствии с подпунктом 7 пункта 1 настоящей статьи и определяемых в соответствии с подпунктом 14 пункта 1 статьи 251 настоящего Кодекса (далее - гранты);</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доходы от осуществления видов экономической деятельности, указанных в абзацах сорок седьмом, сорок восьмом, пятьдесят первом - пятьдесят девятом подпункта 5 пункта 1 настоящей статьи.</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Общий объем доходов определяется плательщиками, указанными в подпункте 7 пункта 1 настоящей статьи, путем суммирования доходов, указанных в пункте 1 и подпункте 1 пункта 1.1 статьи 346.15 настоящего Кодекса. Контроль за соблюдением условий, установленных настоящим пунктом, осуществляется в том числе на основании отчетности, представляемой некоммерческими организациями в соответствии со статьей 431 настоящего Кодекса.</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lastRenderedPageBreak/>
        <w:t>Информация о случаях несоответствия деятельности некоммерческой организации целям, предусмотренным ее учредительными документами, выявленных по результатам контроля, проводимого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со статьей 32 Федерального закона от 12 января 1996 года N 7-ФЗ "О некоммерческих организациях", представляется в налоговые органы в форме электронного документа в порядке, определенном соглашением об информационном обмене.</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В случае, если по итогам расчетного (отчетного) периода применительно к указанному периоду организация не выполняет условия, установленные настоящим пунктом, такая организация лишается права применять пониженные тарифы страховых взносов, предусмотренные подпунктом 3 пункта 2 или пунктом 2.2 настоящей статьи, с начала расчетного периода, в котором допущено несоответствие условиям, указанным в настоящем пункте.</w:t>
      </w: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При определении объ</w:t>
      </w:r>
      <w:r>
        <w:rPr>
          <w:rFonts w:ascii="Times New Roman" w:eastAsia="Times New Roman" w:hAnsi="Times New Roman" w:cs="Times New Roman"/>
          <w:sz w:val="24"/>
          <w:szCs w:val="24"/>
        </w:rPr>
        <w:t>ё</w:t>
      </w:r>
      <w:r w:rsidRPr="001B69F7">
        <w:rPr>
          <w:rFonts w:ascii="Times New Roman" w:eastAsia="Times New Roman" w:hAnsi="Times New Roman" w:cs="Times New Roman"/>
          <w:sz w:val="24"/>
          <w:szCs w:val="24"/>
        </w:rPr>
        <w:t>ма доходов организации для проверки соответствия выполнения организацией условий, установленных настоящим пунктом, учитываются целевые поступления и гранты, поступившие и не использованные организацией по итогам предыдущих расчетных периодов.</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8. Плательщики, указанные в подпункте 8 пункта 1 настоящей статьи, применяют пониженные тарифы страховых взносов, предусмотренные подпунктом 3 пункта 2, пунктом 2.2 настоящей статьи, при условии:</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применения упрощенной системы налогообложения;</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соответствия деятельности благотворительной организации целям, предусмотренным ее учредительными документами.</w:t>
      </w:r>
    </w:p>
    <w:p w:rsidR="00424AE4" w:rsidRPr="001B69F7"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 xml:space="preserve">Информация о случаях несоответствия деятельности благотворительной организации целям, предусмотренным ее учредительными документами, выявленных по результатам контроля, проводимого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соответствии со статьей 32 Федерального закона от 12 января 1996 года </w:t>
      </w:r>
      <w:r>
        <w:rPr>
          <w:rFonts w:ascii="Times New Roman" w:eastAsia="Times New Roman" w:hAnsi="Times New Roman" w:cs="Times New Roman"/>
          <w:sz w:val="24"/>
          <w:szCs w:val="24"/>
        </w:rPr>
        <w:t>№</w:t>
      </w:r>
      <w:r w:rsidRPr="001B69F7">
        <w:rPr>
          <w:rFonts w:ascii="Times New Roman" w:eastAsia="Times New Roman" w:hAnsi="Times New Roman" w:cs="Times New Roman"/>
          <w:sz w:val="24"/>
          <w:szCs w:val="24"/>
        </w:rPr>
        <w:t xml:space="preserve"> 7-ФЗ "О некоммерческих организациях", представляется в налоговые органы в форме электронного документа в порядке, определенном соглашением об информационном обмене.</w:t>
      </w: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B69F7">
        <w:rPr>
          <w:rFonts w:ascii="Times New Roman" w:eastAsia="Times New Roman" w:hAnsi="Times New Roman" w:cs="Times New Roman"/>
          <w:sz w:val="24"/>
          <w:szCs w:val="24"/>
        </w:rPr>
        <w:t>В случае, если по итогам расчетного (отчетного) периода применительно к указанному периоду организация не выполняет условия, установленные настоящим пунктом, такая организация лишается права применять пониженные тарифы страховых взносов, предусмотренные подпунктом 3 пункта 2 или пунктом 2.2 настоящей статьи, с начала расчетного периода, в котором допущено несоответствие условиям, указанным в настоящем пункте.</w:t>
      </w: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424AE4" w:rsidRPr="001C57E2"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b/>
          <w:bCs/>
          <w:sz w:val="24"/>
          <w:szCs w:val="24"/>
        </w:rPr>
      </w:pPr>
      <w:r w:rsidRPr="001C57E2">
        <w:rPr>
          <w:rFonts w:ascii="Times New Roman" w:eastAsia="Times New Roman" w:hAnsi="Times New Roman" w:cs="Times New Roman"/>
          <w:b/>
          <w:bCs/>
          <w:sz w:val="24"/>
          <w:szCs w:val="24"/>
        </w:rPr>
        <w:t xml:space="preserve">Федеральный закон "Об основах социального обслуживания граждан в Российской Федерации" от 28.12.2013 </w:t>
      </w:r>
      <w:r w:rsidR="001C57E2" w:rsidRPr="001C57E2">
        <w:rPr>
          <w:rFonts w:ascii="Times New Roman" w:eastAsia="Times New Roman" w:hAnsi="Times New Roman" w:cs="Times New Roman"/>
          <w:b/>
          <w:bCs/>
          <w:sz w:val="24"/>
          <w:szCs w:val="24"/>
        </w:rPr>
        <w:t>№</w:t>
      </w:r>
      <w:r w:rsidRPr="001C57E2">
        <w:rPr>
          <w:rFonts w:ascii="Times New Roman" w:eastAsia="Times New Roman" w:hAnsi="Times New Roman" w:cs="Times New Roman"/>
          <w:b/>
          <w:bCs/>
          <w:sz w:val="24"/>
          <w:szCs w:val="24"/>
        </w:rPr>
        <w:t xml:space="preserve"> 442-ФЗ</w:t>
      </w:r>
    </w:p>
    <w:p w:rsidR="00424AE4" w:rsidRP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424AE4" w:rsidRP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424AE4">
        <w:rPr>
          <w:rFonts w:ascii="Times New Roman" w:eastAsia="Times New Roman" w:hAnsi="Times New Roman" w:cs="Times New Roman"/>
          <w:sz w:val="24"/>
          <w:szCs w:val="24"/>
        </w:rPr>
        <w:t>Статья 3. Основные понятия, используемые в настоящем Федеральном законе</w:t>
      </w:r>
    </w:p>
    <w:p w:rsidR="00424AE4" w:rsidRP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424AE4" w:rsidRP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424AE4">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p>
    <w:p w:rsidR="00424AE4" w:rsidRP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424AE4">
        <w:rPr>
          <w:rFonts w:ascii="Times New Roman" w:eastAsia="Times New Roman" w:hAnsi="Times New Roman" w:cs="Times New Roman"/>
          <w:sz w:val="24"/>
          <w:szCs w:val="24"/>
        </w:rPr>
        <w:t>1) социальное обслуживание граждан (далее - социальное обслуживание) - деятельность по предоставлению социальных услуг гражданам;</w:t>
      </w:r>
    </w:p>
    <w:p w:rsidR="00424AE4" w:rsidRDefault="00424AE4"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424AE4">
        <w:rPr>
          <w:rFonts w:ascii="Times New Roman" w:eastAsia="Times New Roman" w:hAnsi="Times New Roman" w:cs="Times New Roman"/>
          <w:sz w:val="24"/>
          <w:szCs w:val="24"/>
        </w:rPr>
        <w:lastRenderedPageBreak/>
        <w:t>2) социальная услуга</w:t>
      </w:r>
      <w:r w:rsidR="001C57E2">
        <w:rPr>
          <w:rFonts w:ascii="Times New Roman" w:eastAsia="Times New Roman" w:hAnsi="Times New Roman" w:cs="Times New Roman"/>
          <w:sz w:val="24"/>
          <w:szCs w:val="24"/>
        </w:rPr>
        <w:t xml:space="preserve"> – </w:t>
      </w:r>
      <w:r w:rsidRPr="00424AE4">
        <w:rPr>
          <w:rFonts w:ascii="Times New Roman" w:eastAsia="Times New Roman" w:hAnsi="Times New Roman" w:cs="Times New Roman"/>
          <w:sz w:val="24"/>
          <w:szCs w:val="24"/>
        </w:rPr>
        <w:t>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1C57E2" w:rsidRDefault="001C57E2" w:rsidP="00424AE4">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1C57E2" w:rsidRPr="001C57E2" w:rsidRDefault="00632883"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b/>
          <w:bCs/>
          <w:sz w:val="36"/>
          <w:szCs w:val="36"/>
        </w:rPr>
      </w:pPr>
      <w:r>
        <w:rPr>
          <w:rFonts w:ascii="Times New Roman" w:hAnsi="Times New Roman"/>
          <w:b/>
          <w:bCs/>
          <w:sz w:val="36"/>
          <w:szCs w:val="36"/>
        </w:rPr>
        <w:t>6</w:t>
      </w:r>
      <w:r w:rsidR="001C57E2" w:rsidRPr="00424AE4">
        <w:rPr>
          <w:rFonts w:ascii="Times New Roman" w:hAnsi="Times New Roman"/>
          <w:b/>
          <w:bCs/>
          <w:sz w:val="36"/>
          <w:szCs w:val="36"/>
        </w:rPr>
        <w:t xml:space="preserve">. </w:t>
      </w:r>
      <w:r w:rsidR="001C57E2" w:rsidRPr="001C57E2">
        <w:rPr>
          <w:rFonts w:ascii="Times New Roman" w:hAnsi="Times New Roman"/>
          <w:b/>
          <w:bCs/>
          <w:sz w:val="36"/>
          <w:szCs w:val="36"/>
        </w:rPr>
        <w:t>Марина М.</w:t>
      </w:r>
    </w:p>
    <w:p w:rsidR="001C57E2" w:rsidRPr="00424AE4" w:rsidRDefault="001C57E2" w:rsidP="001C57E2">
      <w:pPr>
        <w:pStyle w:val="23"/>
        <w:spacing w:after="0" w:line="240" w:lineRule="auto"/>
        <w:ind w:firstLine="425"/>
        <w:jc w:val="both"/>
        <w:rPr>
          <w:rFonts w:ascii="Times New Roman" w:hAnsi="Times New Roman"/>
          <w:color w:val="00B050"/>
          <w:sz w:val="36"/>
          <w:szCs w:val="36"/>
        </w:rPr>
      </w:pPr>
      <w:r w:rsidRPr="00424AE4">
        <w:rPr>
          <w:rFonts w:ascii="Times New Roman" w:hAnsi="Times New Roman"/>
          <w:color w:val="00B050"/>
          <w:sz w:val="36"/>
          <w:szCs w:val="36"/>
        </w:rPr>
        <w:t>ГАМОЛЬСКИЙ</w:t>
      </w:r>
    </w:p>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sz w:val="36"/>
          <w:szCs w:val="36"/>
        </w:rPr>
      </w:pPr>
      <w:r w:rsidRPr="001C57E2">
        <w:rPr>
          <w:rFonts w:ascii="Times New Roman" w:hAnsi="Times New Roman"/>
          <w:sz w:val="36"/>
          <w:szCs w:val="36"/>
        </w:rPr>
        <w:t xml:space="preserve">Я начинающий бухгалтер. </w:t>
      </w:r>
    </w:p>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sz w:val="36"/>
          <w:szCs w:val="36"/>
        </w:rPr>
      </w:pPr>
      <w:r w:rsidRPr="001C57E2">
        <w:rPr>
          <w:rFonts w:ascii="Times New Roman" w:hAnsi="Times New Roman"/>
          <w:sz w:val="36"/>
          <w:szCs w:val="36"/>
        </w:rPr>
        <w:t xml:space="preserve">Как выбрать группу ОС, если я не могу найти это ОС в классификаторе? </w:t>
      </w:r>
    </w:p>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sz w:val="36"/>
          <w:szCs w:val="36"/>
        </w:rPr>
      </w:pPr>
      <w:r w:rsidRPr="001C57E2">
        <w:rPr>
          <w:rFonts w:ascii="Times New Roman" w:hAnsi="Times New Roman"/>
          <w:sz w:val="36"/>
          <w:szCs w:val="36"/>
        </w:rPr>
        <w:t>Например, квадрокоптер или оптический прицел, которые стоят более 100т.р. И нужно ли их ставить как ОС?</w:t>
      </w:r>
    </w:p>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hAnsi="Times New Roman"/>
          <w:sz w:val="36"/>
          <w:szCs w:val="36"/>
        </w:rPr>
      </w:pPr>
      <w:r w:rsidRPr="001C57E2">
        <w:rPr>
          <w:rFonts w:ascii="Times New Roman" w:hAnsi="Times New Roman"/>
          <w:sz w:val="36"/>
          <w:szCs w:val="36"/>
        </w:rPr>
        <w:t>Как определить ОКОФ?</w:t>
      </w:r>
    </w:p>
    <w:p w:rsid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"ОК 013-2014 (СНС 2008). Общероссийский классификатор основных фондов"</w:t>
      </w:r>
    </w:p>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(принят и введен в действие Приказом Росстандарта от 12.12.2014 N 2018-ст)</w:t>
      </w:r>
    </w:p>
    <w:p w:rsid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b/>
          <w:bCs/>
          <w:sz w:val="24"/>
          <w:szCs w:val="24"/>
        </w:rPr>
      </w:pPr>
      <w:r w:rsidRPr="001C57E2">
        <w:rPr>
          <w:rFonts w:ascii="Times New Roman" w:eastAsia="Times New Roman" w:hAnsi="Times New Roman" w:cs="Times New Roman"/>
          <w:b/>
          <w:bCs/>
          <w:sz w:val="24"/>
          <w:szCs w:val="24"/>
        </w:rPr>
        <w:t>Таблица 1</w:t>
      </w:r>
    </w:p>
    <w:p w:rsid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tbl>
      <w:tblPr>
        <w:tblW w:w="9296" w:type="dxa"/>
        <w:tblLayout w:type="fixed"/>
        <w:tblCellMar>
          <w:top w:w="102" w:type="dxa"/>
          <w:left w:w="62" w:type="dxa"/>
          <w:bottom w:w="102" w:type="dxa"/>
          <w:right w:w="62" w:type="dxa"/>
        </w:tblCellMar>
        <w:tblLook w:val="0000" w:firstRow="0" w:lastRow="0" w:firstColumn="0" w:lastColumn="0" w:noHBand="0" w:noVBand="0"/>
      </w:tblPr>
      <w:tblGrid>
        <w:gridCol w:w="1954"/>
        <w:gridCol w:w="7342"/>
      </w:tblGrid>
      <w:tr w:rsidR="001C57E2" w:rsidTr="001C57E2">
        <w:tc>
          <w:tcPr>
            <w:tcW w:w="1954" w:type="dxa"/>
            <w:tcBorders>
              <w:top w:val="none" w:sz="6" w:space="0" w:color="auto"/>
              <w:left w:val="none" w:sz="6" w:space="0" w:color="auto"/>
              <w:bottom w:val="none" w:sz="6" w:space="0" w:color="auto"/>
              <w:right w:val="none" w:sz="6" w:space="0" w:color="auto"/>
            </w:tcBorders>
          </w:tcPr>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330.00.00.00.000</w:t>
            </w:r>
          </w:p>
        </w:tc>
        <w:tc>
          <w:tcPr>
            <w:tcW w:w="7342" w:type="dxa"/>
            <w:tcBorders>
              <w:top w:val="none" w:sz="6" w:space="0" w:color="auto"/>
              <w:left w:val="none" w:sz="6" w:space="0" w:color="auto"/>
              <w:bottom w:val="none" w:sz="6" w:space="0" w:color="auto"/>
              <w:right w:val="none" w:sz="6" w:space="0" w:color="auto"/>
            </w:tcBorders>
          </w:tcPr>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ПРОЧИЕ МАШИНЫ И ОБОРУДОВАНИЕ,</w:t>
            </w:r>
            <w:r>
              <w:rPr>
                <w:rFonts w:ascii="Times New Roman" w:eastAsia="Times New Roman" w:hAnsi="Times New Roman" w:cs="Times New Roman"/>
                <w:sz w:val="24"/>
                <w:szCs w:val="24"/>
              </w:rPr>
              <w:t xml:space="preserve"> </w:t>
            </w:r>
            <w:r w:rsidRPr="001C57E2">
              <w:rPr>
                <w:rFonts w:ascii="Times New Roman" w:eastAsia="Times New Roman" w:hAnsi="Times New Roman" w:cs="Times New Roman"/>
                <w:sz w:val="24"/>
                <w:szCs w:val="24"/>
              </w:rPr>
              <w:t>ВКЛЮЧАЯ ХОЗЯЙСТВЕННЫЙ ИНВЕНТАРЬ, И ДРУГИЕ ОБЪЕКТЫ</w:t>
            </w:r>
          </w:p>
        </w:tc>
      </w:tr>
      <w:tr w:rsidR="001C57E2" w:rsidTr="001C57E2">
        <w:tc>
          <w:tcPr>
            <w:tcW w:w="1954" w:type="dxa"/>
            <w:tcBorders>
              <w:top w:val="none" w:sz="6" w:space="0" w:color="auto"/>
              <w:left w:val="none" w:sz="6" w:space="0" w:color="auto"/>
              <w:bottom w:val="none" w:sz="6" w:space="0" w:color="auto"/>
              <w:right w:val="none" w:sz="6" w:space="0" w:color="auto"/>
            </w:tcBorders>
          </w:tcPr>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330.26.51</w:t>
            </w:r>
          </w:p>
        </w:tc>
        <w:tc>
          <w:tcPr>
            <w:tcW w:w="7342" w:type="dxa"/>
            <w:tcBorders>
              <w:top w:val="none" w:sz="6" w:space="0" w:color="auto"/>
              <w:left w:val="none" w:sz="6" w:space="0" w:color="auto"/>
              <w:bottom w:val="none" w:sz="6" w:space="0" w:color="auto"/>
              <w:right w:val="none" w:sz="6" w:space="0" w:color="auto"/>
            </w:tcBorders>
          </w:tcPr>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Оборудование для измерения, испытаний и навигации</w:t>
            </w:r>
          </w:p>
        </w:tc>
      </w:tr>
      <w:tr w:rsidR="001C57E2" w:rsidRPr="001C57E2" w:rsidTr="001C57E2">
        <w:tc>
          <w:tcPr>
            <w:tcW w:w="1954" w:type="dxa"/>
            <w:tcBorders>
              <w:top w:val="none" w:sz="6" w:space="0" w:color="auto"/>
              <w:left w:val="none" w:sz="6" w:space="0" w:color="auto"/>
              <w:bottom w:val="none" w:sz="6" w:space="0" w:color="auto"/>
              <w:right w:val="none" w:sz="6" w:space="0" w:color="auto"/>
            </w:tcBorders>
          </w:tcPr>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330.26.70.13</w:t>
            </w:r>
          </w:p>
        </w:tc>
        <w:tc>
          <w:tcPr>
            <w:tcW w:w="7342" w:type="dxa"/>
            <w:tcBorders>
              <w:top w:val="none" w:sz="6" w:space="0" w:color="auto"/>
              <w:left w:val="none" w:sz="6" w:space="0" w:color="auto"/>
              <w:bottom w:val="none" w:sz="6" w:space="0" w:color="auto"/>
              <w:right w:val="none" w:sz="6" w:space="0" w:color="auto"/>
            </w:tcBorders>
          </w:tcPr>
          <w:p w:rsidR="001C57E2" w:rsidRP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Видеокамеры цифровые</w:t>
            </w:r>
          </w:p>
        </w:tc>
      </w:tr>
    </w:tbl>
    <w:p w:rsidR="00015049" w:rsidRDefault="00015049"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54"/>
        <w:gridCol w:w="7030"/>
      </w:tblGrid>
      <w:tr w:rsidR="00015049" w:rsidTr="00015049">
        <w:tc>
          <w:tcPr>
            <w:tcW w:w="1954" w:type="dxa"/>
            <w:tcBorders>
              <w:top w:val="none" w:sz="6" w:space="0" w:color="auto"/>
              <w:left w:val="none" w:sz="6" w:space="0" w:color="auto"/>
              <w:bottom w:val="none" w:sz="6" w:space="0" w:color="auto"/>
              <w:right w:val="none" w:sz="6" w:space="0" w:color="auto"/>
            </w:tcBorders>
          </w:tcPr>
          <w:p w:rsidR="00015049" w:rsidRPr="00015049" w:rsidRDefault="00015049" w:rsidP="00015049">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015049">
              <w:rPr>
                <w:rFonts w:ascii="Times New Roman" w:eastAsia="Times New Roman" w:hAnsi="Times New Roman" w:cs="Times New Roman"/>
                <w:sz w:val="24"/>
                <w:szCs w:val="24"/>
              </w:rPr>
              <w:t>310.30</w:t>
            </w:r>
          </w:p>
        </w:tc>
        <w:tc>
          <w:tcPr>
            <w:tcW w:w="7030" w:type="dxa"/>
            <w:tcBorders>
              <w:top w:val="none" w:sz="6" w:space="0" w:color="auto"/>
              <w:left w:val="none" w:sz="6" w:space="0" w:color="auto"/>
              <w:bottom w:val="none" w:sz="6" w:space="0" w:color="auto"/>
              <w:right w:val="none" w:sz="6" w:space="0" w:color="auto"/>
            </w:tcBorders>
          </w:tcPr>
          <w:p w:rsidR="00015049" w:rsidRPr="00015049" w:rsidRDefault="00015049" w:rsidP="00015049">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015049">
              <w:rPr>
                <w:rFonts w:ascii="Times New Roman" w:eastAsia="Times New Roman" w:hAnsi="Times New Roman" w:cs="Times New Roman"/>
                <w:sz w:val="24"/>
                <w:szCs w:val="24"/>
              </w:rPr>
              <w:t>Средства транспортные и оборудование прочие</w:t>
            </w:r>
          </w:p>
        </w:tc>
      </w:tr>
      <w:tr w:rsidR="00015049" w:rsidRPr="00015049">
        <w:tc>
          <w:tcPr>
            <w:tcW w:w="1954" w:type="dxa"/>
            <w:tcBorders>
              <w:top w:val="none" w:sz="6" w:space="0" w:color="auto"/>
              <w:left w:val="none" w:sz="6" w:space="0" w:color="auto"/>
              <w:bottom w:val="none" w:sz="6" w:space="0" w:color="auto"/>
              <w:right w:val="none" w:sz="6" w:space="0" w:color="auto"/>
            </w:tcBorders>
          </w:tcPr>
          <w:p w:rsidR="00015049" w:rsidRPr="00015049" w:rsidRDefault="00015049" w:rsidP="00015049">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015049">
              <w:rPr>
                <w:rFonts w:ascii="Times New Roman" w:eastAsia="Times New Roman" w:hAnsi="Times New Roman" w:cs="Times New Roman"/>
                <w:sz w:val="24"/>
                <w:szCs w:val="24"/>
              </w:rPr>
              <w:t>310.30.30.32.120</w:t>
            </w:r>
          </w:p>
        </w:tc>
        <w:tc>
          <w:tcPr>
            <w:tcW w:w="7030" w:type="dxa"/>
            <w:tcBorders>
              <w:top w:val="none" w:sz="6" w:space="0" w:color="auto"/>
              <w:left w:val="none" w:sz="6" w:space="0" w:color="auto"/>
              <w:bottom w:val="none" w:sz="6" w:space="0" w:color="auto"/>
              <w:right w:val="none" w:sz="6" w:space="0" w:color="auto"/>
            </w:tcBorders>
          </w:tcPr>
          <w:p w:rsidR="00015049" w:rsidRPr="00015049" w:rsidRDefault="00015049" w:rsidP="00015049">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eastAsia="Times New Roman" w:hAnsi="Times New Roman" w:cs="Times New Roman"/>
                <w:sz w:val="24"/>
                <w:szCs w:val="24"/>
              </w:rPr>
            </w:pPr>
            <w:r w:rsidRPr="00015049">
              <w:rPr>
                <w:rFonts w:ascii="Times New Roman" w:eastAsia="Times New Roman" w:hAnsi="Times New Roman" w:cs="Times New Roman"/>
                <w:sz w:val="24"/>
                <w:szCs w:val="24"/>
              </w:rPr>
              <w:t>Аппараты летательные прочие с массой пустого снаряженного аппарата не более 2000 кг</w:t>
            </w:r>
          </w:p>
        </w:tc>
      </w:tr>
    </w:tbl>
    <w:p w:rsidR="00015049" w:rsidRDefault="00015049"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p w:rsidR="001C57E2"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r w:rsidRPr="001C57E2">
        <w:rPr>
          <w:rFonts w:ascii="Times New Roman" w:eastAsia="Times New Roman" w:hAnsi="Times New Roman" w:cs="Times New Roman"/>
          <w:sz w:val="24"/>
          <w:szCs w:val="24"/>
        </w:rPr>
        <w:t>Если техническая документация отсутствует, определить амортизационную группу и срок использования можно, обратившись с запросом в Минэкономразвития</w:t>
      </w:r>
    </w:p>
    <w:p w:rsidR="001C57E2" w:rsidRPr="00424AE4" w:rsidRDefault="001C57E2" w:rsidP="001C57E2">
      <w:pPr>
        <w:pBdr>
          <w:top w:val="none" w:sz="4" w:space="0" w:color="000000"/>
          <w:left w:val="none" w:sz="4" w:space="0" w:color="000000"/>
          <w:bottom w:val="none" w:sz="4" w:space="0" w:color="000000"/>
          <w:right w:val="none" w:sz="4" w:space="0" w:color="000000"/>
        </w:pBdr>
        <w:shd w:val="clear" w:color="FFFFFF" w:fill="FFFFFF"/>
        <w:spacing w:after="0"/>
        <w:ind w:firstLine="708"/>
        <w:jc w:val="both"/>
        <w:rPr>
          <w:rFonts w:ascii="Times New Roman" w:eastAsia="Times New Roman" w:hAnsi="Times New Roman" w:cs="Times New Roman"/>
          <w:sz w:val="24"/>
          <w:szCs w:val="24"/>
        </w:rPr>
      </w:pPr>
    </w:p>
    <w:sectPr w:rsidR="001C57E2" w:rsidRPr="00424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B0827"/>
    <w:multiLevelType w:val="hybridMultilevel"/>
    <w:tmpl w:val="8C2E35BC"/>
    <w:lvl w:ilvl="0" w:tplc="406E233E">
      <w:start w:val="1"/>
      <w:numFmt w:val="decimal"/>
      <w:lvlText w:val="%1."/>
      <w:lvlJc w:val="left"/>
      <w:pPr>
        <w:ind w:left="1351" w:hanging="360"/>
      </w:pPr>
      <w:rPr>
        <w:rFonts w:hint="default"/>
      </w:r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1" w15:restartNumberingAfterBreak="0">
    <w:nsid w:val="71E35FEC"/>
    <w:multiLevelType w:val="multilevel"/>
    <w:tmpl w:val="3B18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9152502">
    <w:abstractNumId w:val="1"/>
  </w:num>
  <w:num w:numId="2" w16cid:durableId="27671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18"/>
    <w:rsid w:val="00015049"/>
    <w:rsid w:val="000851AA"/>
    <w:rsid w:val="00165CE1"/>
    <w:rsid w:val="001A1FCF"/>
    <w:rsid w:val="001C57E2"/>
    <w:rsid w:val="00244118"/>
    <w:rsid w:val="00383329"/>
    <w:rsid w:val="00424AE4"/>
    <w:rsid w:val="00462057"/>
    <w:rsid w:val="0051747F"/>
    <w:rsid w:val="00632883"/>
    <w:rsid w:val="007A1B02"/>
    <w:rsid w:val="0093750B"/>
    <w:rsid w:val="009429A9"/>
    <w:rsid w:val="00AF5CF3"/>
    <w:rsid w:val="00C87C33"/>
    <w:rsid w:val="00D603F5"/>
    <w:rsid w:val="00F9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DD0B"/>
  <w15:chartTrackingRefBased/>
  <w15:docId w15:val="{A2101895-1655-444A-80EF-3DCB9E6E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441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441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4411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4411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4411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441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441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441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441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411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4411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4411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4411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4411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441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44118"/>
    <w:rPr>
      <w:rFonts w:eastAsiaTheme="majorEastAsia" w:cstheme="majorBidi"/>
      <w:color w:val="595959" w:themeColor="text1" w:themeTint="A6"/>
    </w:rPr>
  </w:style>
  <w:style w:type="character" w:customStyle="1" w:styleId="80">
    <w:name w:val="Заголовок 8 Знак"/>
    <w:basedOn w:val="a0"/>
    <w:link w:val="8"/>
    <w:uiPriority w:val="9"/>
    <w:semiHidden/>
    <w:rsid w:val="002441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44118"/>
    <w:rPr>
      <w:rFonts w:eastAsiaTheme="majorEastAsia" w:cstheme="majorBidi"/>
      <w:color w:val="272727" w:themeColor="text1" w:themeTint="D8"/>
    </w:rPr>
  </w:style>
  <w:style w:type="paragraph" w:styleId="a3">
    <w:name w:val="Title"/>
    <w:basedOn w:val="a"/>
    <w:next w:val="a"/>
    <w:link w:val="a4"/>
    <w:uiPriority w:val="10"/>
    <w:qFormat/>
    <w:rsid w:val="00244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44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1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441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44118"/>
    <w:pPr>
      <w:spacing w:before="160"/>
      <w:jc w:val="center"/>
    </w:pPr>
    <w:rPr>
      <w:i/>
      <w:iCs/>
      <w:color w:val="404040" w:themeColor="text1" w:themeTint="BF"/>
    </w:rPr>
  </w:style>
  <w:style w:type="character" w:customStyle="1" w:styleId="22">
    <w:name w:val="Цитата 2 Знак"/>
    <w:basedOn w:val="a0"/>
    <w:link w:val="21"/>
    <w:uiPriority w:val="29"/>
    <w:rsid w:val="00244118"/>
    <w:rPr>
      <w:i/>
      <w:iCs/>
      <w:color w:val="404040" w:themeColor="text1" w:themeTint="BF"/>
    </w:rPr>
  </w:style>
  <w:style w:type="paragraph" w:styleId="a7">
    <w:name w:val="List Paragraph"/>
    <w:basedOn w:val="a"/>
    <w:uiPriority w:val="34"/>
    <w:qFormat/>
    <w:rsid w:val="00244118"/>
    <w:pPr>
      <w:ind w:left="720"/>
      <w:contextualSpacing/>
    </w:pPr>
  </w:style>
  <w:style w:type="character" w:styleId="a8">
    <w:name w:val="Intense Emphasis"/>
    <w:basedOn w:val="a0"/>
    <w:uiPriority w:val="21"/>
    <w:qFormat/>
    <w:rsid w:val="00244118"/>
    <w:rPr>
      <w:i/>
      <w:iCs/>
      <w:color w:val="2F5496" w:themeColor="accent1" w:themeShade="BF"/>
    </w:rPr>
  </w:style>
  <w:style w:type="paragraph" w:styleId="a9">
    <w:name w:val="Intense Quote"/>
    <w:basedOn w:val="a"/>
    <w:next w:val="a"/>
    <w:link w:val="aa"/>
    <w:uiPriority w:val="30"/>
    <w:qFormat/>
    <w:rsid w:val="00244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44118"/>
    <w:rPr>
      <w:i/>
      <w:iCs/>
      <w:color w:val="2F5496" w:themeColor="accent1" w:themeShade="BF"/>
    </w:rPr>
  </w:style>
  <w:style w:type="character" w:styleId="ab">
    <w:name w:val="Intense Reference"/>
    <w:basedOn w:val="a0"/>
    <w:uiPriority w:val="32"/>
    <w:qFormat/>
    <w:rsid w:val="00244118"/>
    <w:rPr>
      <w:b/>
      <w:bCs/>
      <w:smallCaps/>
      <w:color w:val="2F5496" w:themeColor="accent1" w:themeShade="BF"/>
      <w:spacing w:val="5"/>
    </w:rPr>
  </w:style>
  <w:style w:type="paragraph" w:styleId="23">
    <w:name w:val="Body Text Indent 2"/>
    <w:basedOn w:val="a"/>
    <w:link w:val="24"/>
    <w:rsid w:val="00244118"/>
    <w:pPr>
      <w:spacing w:after="120" w:line="480" w:lineRule="auto"/>
      <w:ind w:left="283"/>
    </w:pPr>
    <w:rPr>
      <w:rFonts w:ascii="Calibri" w:eastAsia="Times New Roman" w:hAnsi="Calibri" w:cs="Times New Roman"/>
      <w:kern w:val="0"/>
      <w:lang w:eastAsia="ru-RU"/>
      <w14:ligatures w14:val="none"/>
    </w:rPr>
  </w:style>
  <w:style w:type="character" w:customStyle="1" w:styleId="24">
    <w:name w:val="Основной текст с отступом 2 Знак"/>
    <w:basedOn w:val="a0"/>
    <w:link w:val="23"/>
    <w:rsid w:val="00244118"/>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54966">
      <w:bodyDiv w:val="1"/>
      <w:marLeft w:val="0"/>
      <w:marRight w:val="0"/>
      <w:marTop w:val="0"/>
      <w:marBottom w:val="0"/>
      <w:divBdr>
        <w:top w:val="none" w:sz="0" w:space="0" w:color="auto"/>
        <w:left w:val="none" w:sz="0" w:space="0" w:color="auto"/>
        <w:bottom w:val="none" w:sz="0" w:space="0" w:color="auto"/>
        <w:right w:val="none" w:sz="0" w:space="0" w:color="auto"/>
      </w:divBdr>
    </w:div>
    <w:div w:id="874998815">
      <w:bodyDiv w:val="1"/>
      <w:marLeft w:val="0"/>
      <w:marRight w:val="0"/>
      <w:marTop w:val="0"/>
      <w:marBottom w:val="0"/>
      <w:divBdr>
        <w:top w:val="none" w:sz="0" w:space="0" w:color="auto"/>
        <w:left w:val="none" w:sz="0" w:space="0" w:color="auto"/>
        <w:bottom w:val="none" w:sz="0" w:space="0" w:color="auto"/>
        <w:right w:val="none" w:sz="0" w:space="0" w:color="auto"/>
      </w:divBdr>
    </w:div>
    <w:div w:id="1279488661">
      <w:bodyDiv w:val="1"/>
      <w:marLeft w:val="0"/>
      <w:marRight w:val="0"/>
      <w:marTop w:val="0"/>
      <w:marBottom w:val="0"/>
      <w:divBdr>
        <w:top w:val="none" w:sz="0" w:space="0" w:color="auto"/>
        <w:left w:val="none" w:sz="0" w:space="0" w:color="auto"/>
        <w:bottom w:val="none" w:sz="0" w:space="0" w:color="auto"/>
        <w:right w:val="none" w:sz="0" w:space="0" w:color="auto"/>
      </w:divBdr>
    </w:div>
    <w:div w:id="1774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5</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Gamolskiy</dc:creator>
  <cp:keywords/>
  <dc:description/>
  <cp:lastModifiedBy>Pavel Gamolskiy</cp:lastModifiedBy>
  <cp:revision>8</cp:revision>
  <dcterms:created xsi:type="dcterms:W3CDTF">2025-04-21T10:15:00Z</dcterms:created>
  <dcterms:modified xsi:type="dcterms:W3CDTF">2025-04-22T08:26:00Z</dcterms:modified>
</cp:coreProperties>
</file>