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Вопросы к вебинару 11 марта 2025 г. (вторник)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1. Ирина П.</w:t>
      </w:r>
      <w:r>
        <w:rPr>
          <w:b/>
          <w:bCs/>
        </w:rPr>
      </w:r>
      <w:r>
        <w:rPr>
          <w:b/>
          <w:bCs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tabs>
          <w:tab w:val="left" w:pos="72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 по созданию резерва по сомнительным долгам.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бухгалтерском учете на счете 60 числится дебиторская задолженность, сомнительная и безнадежная. Задолженность числится начиная с 31.12.2021 года при вводе остатков в новую базу НКО, ранее учет вела аутсорсинговая компания.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Вопрос: можно ли списать дебиторскую задолженность как безнадежную, по которой истек срок исковой давности или надо обязательно создавать резерв по сомнительным долгам на сомнительную и безнадежную? Насколько целесообразно создавать резерв по сомнительным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долгам по счету 60, если неиспользованный резерв будет списан в следующем финансовом году?</w:t>
      </w:r>
      <w:r>
        <w:rPr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Вопрос о дате списания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бухгалтерском учете на счете 60 числится кредиторская задолженность начиная с 31.12.2021 при вводе остатков (аналогичная ситуация). Проанализировать данные по фактической дате возникновения задолженности невозможно, сверка расчетов с поставщиками не дала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результатов, так как акт сверки не подписан со стороны поставщика (не вернулся), претензий от поставщиков нет. 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Вопрос: возможно ли списать кредиторскую задолженность 31.12.2024 года, так как срок исковой давности 3 года истек 31.12.2024 или перенести списание на январь 2025 года?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2. Александр</w:t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Благотворительный фонд помощи животным и приютам, УСН 6%.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Крупные маркетплейсы утилизируют товары для животных (корма, расчёски, одежда, игрушки и пр. мелкие вещи) и готовы эти ценности передать приютам для животных, но только через благотворительный фонд (им важно чтобы ценности дошли до приютов, а не были прода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ны, например).  Номенклатура огромная, разнообразная, объёмы также очень большие (грузовые автомобили).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Вопрос: как на практике организовать учет в БФ и передачу этих ценностей приютам? Всю номенклатуру невозможно пересчитать и завести в учетную программу. Можно ли данные ценности учитывать за балансом, как транзитные ценности, может укрупненно?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Многие приюты даже с меньшей номенклатурой не хотят подписывать акты-приема передачи ценностей и договоры пожертвования, чтобы не учитывать у себя на балансе эти ценности.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Есть ли более простая модель организации передачи такого большого кол-ва ценностей приютам от Благотворительных фондов? Если можно цепочку документооборота с момента передачи маркетплейсом фонду и от фонда до приюта.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3. Лариса Владимировна Б.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ff00ff"/>
          <w:sz w:val="36"/>
          <w:u w:val="none"/>
        </w:rPr>
        <w:t xml:space="preserve">ШАРОНОВА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ИНФС увеличила ЕНС на сумму 14,95 рублей. В личном кабинете ИФНС в разделе «История ЕНС» в колонке «Операция» написано – Уменьшена пеня за периоды до 01.01.2023, в колонке «Обязательства» - пени КБК 18211617000010000140, «Основание» - иные документы с н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омером и датой.  Никаких уточненных деклараций  наша организация не сдавала.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Звонили в ИФНС. Инспектор сказала, что у них нет этого документа, пишите обращение, уточняйте происхождение суммы. Обращение написали, ответа пока нет.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Какие проводки мы можем сделать, чтобы привести в соответствие наше сальдо ЕНС с сальдо ЕНС ИФНС? Какие документы необходимо приложить к этой проводке, кроме ответа ИФНС?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В марте 2019 г. была приобретена бухгалтерская программа, которая была установлена на компьютер. Программа не обновлялась. В течение 3 лет её стоимость равномерно переносилась на расходы. Нужно ли эту программу в 2024 г. рассматривать как НМА или малоце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нное НМА, если она до сих пор работает?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4. Лариса Борисовна Е.</w:t>
      </w:r>
      <w:r>
        <w:rPr>
          <w:b/>
          <w:bCs/>
        </w:rPr>
      </w:r>
      <w:r>
        <w:rPr>
          <w:b/>
          <w:bCs/>
        </w:rPr>
      </w:r>
    </w:p>
    <w:p>
      <w:pPr>
        <w:ind w:left="720" w:right="0" w:firstLine="0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  <w:t xml:space="preserve">НЕВЕРОВ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текущем периоде у организации (УСН 6%)  имеется  два вида деятельности: приносящая доход и уставная (в рамках целевого финансирования).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Общехозяйственные расходы, а также общие прямые затраты по проектам, относящиеся к двум видам деятельности, согласно Учетной политике для целей бухгалтерского учета  распределяются пропорционально доле соответствующего дохода в суммарном объеме всех доходо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в.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Возможно ли   отнести за счет целевых средств, обеспеченных прибылью от приносящей доход деятельности (остаток на начало года),    общехозяйственные  расходы, учтённые на счете 26, а также  часть общих прямых затрат по проектам – в сумме большей,  чем  рас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пределённая в соответствии с  учетной политикой? Или  вообще ВСЕ управленческие расходы? При условии, что такое использование целевых средств заложено  в Смете доходов и расходов НКО?  (До 2015 г. Минфин вообще рекомендовал относить управленческие расходы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НКО  за счет целевых средств).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Возможный убыток от коммерческой деятельности  в учете не будет показан на счетах учета  при таком финансировании проекта из двух источников. (ПЗ 1/2015 рекомендует сумму чистого убытка  списывать в Д-т 86 в корресп. со сч. 99 и далее отражать в форме 6 в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составе используемых средств.).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Какие в этом случае риски? Завышение расходов за счет целевых и как следствие нецелевое использование?  И отсутствие убытка можно   квалифицировать как  искажение отчетности?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5. Ирина Д.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 связан с применением  ПБУ 14/2022 "Нематериальные активы"</w:t>
      </w:r>
      <w:r>
        <w:rPr>
          <w:sz w:val="22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2021 г.  Фондом завершён проект создания интернет-сайта, НМА  признан в учёте в сумме  620 тыс. руб.  Это 2,72% от валюты баланса. Амортизацию до 2024 года не начисляли.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Сделаны проводки: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Д-т 08 К-т 20, 60 ит.д.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Д-т 04 К-т 08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Д-т 86 К-т 83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Данный сайт был создан   с целью  дальнейшей передачи благополучателю. По определенной ситуации передача пока не оформлена и сайт числится на балансе Фонда. Сайт не используется, оплачивается только хостинг.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С 2024 г. утверждено новое положение по нематериальным активам, согласно которому сайт, который учтён как НМА, не соответствует критериям, так как неспособен приносить экономические выгоды, на получение которых Фонд  имеет право и доступ иных лиц к которым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он способна ограничить.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Фонд  с 2024 в учетной политике применяет ПБУ 14/2022,  метод альтернативный или единовременная корректировки.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Вопросы в следующем: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Что делать с НМА в 2024 году?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Можно ли 31.12.2023 операцией в межотчетный период восстановить расходы и все затраты перенести на счет на 08.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Д-т 04 К-т 08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Д-т 83 К-т 86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 только будет оформлена передача сайта благополучателю, Фонд передаст сайт со счета 08.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3. Если можно сделать вышеуказанные проводки и отчетность не утверждена советом Фонда и не сдана в ИФНС за 2024 г, можно ли сделать это методом сторно?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4. При восстановлении расходов в межотчетный период на 08 счете в балансе будет разрыв по счету 04 и 08. Допустимо ли это с учетом раскрытия изменений в пояснительной записке?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5. Если есть другие варианты квалифицировать Интернет-сайт, который учтён на 04 счете, напишите пожалуйста своё мнение?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6. Татьяна Сергеевна Ц.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Благотворительный фонд получил благотворительное пожертвование (грант) в октябре 2024 г. (договор во вложении). До конца 2024 г. денежные средства израсходованы в полном объёме в соответствии с бюджетом, в бухгалтерском учете затраты собраны на счете 20.03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  за счет гранта. Финансовый отчет не предоставляли, так как пока не достигнуты количественные результаты по гранту и срок для предоставления отчета конец июля 2025 г.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От Благотворителя поступил акт сверки за 2024 г. о нашей задолженности на конец года в сумме полученного гранта. Корректно ли подписывать с нашей стороны акт сверки и как отражать в бухгалтерском учете затраты, если подпишем акт (не списывать до предоставл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ения отчета?).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 тогда заполнить Раздел 3 декларации по УСН за 2024 год,  отражая поступления по данному источнику (заполняем кассовым методом на основании счета 51), указать по нашим данным, что все израсходовано?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7. Ольга Владимировна К.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 xml:space="preserve">САВКОВА</w:t>
      </w:r>
      <w:r>
        <w:rPr>
          <w:rFonts w:ascii="Times New Roman" w:hAnsi="Times New Roman" w:eastAsia="Times New Roman" w:cs="Times New Roman"/>
          <w:b/>
          <w:color w:val="ff0000"/>
          <w:sz w:val="36"/>
          <w:u w:val="none"/>
        </w:rPr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Вопрос касается договоров аренды помещения с учётом ФСБУ 25/2018: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в 2024 году изменены условия договоров аренды: продлен срок аренды по договору и увеличена стоимость аренды.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Наши действия: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пересматриваем ставку дисконтирования, пересматриваем срок аренды и делаем пересчет для корректировки ППА и арендного обязательства. Непонятен момент пересчета: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пересчёт делаем с момента вступления в силу изменений и разницу между предыдущими значениями и новыми относим на изменения в 1С, в этом случае непонятен смысл пересчета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или пересчёт необходимо сделать с самого начала возникновения ППА и ОА с новыми параметрами и уже разницу с предыдущим расчетом отнести на корректировку ППА и ОА? </w:t>
      </w:r>
      <w:r/>
    </w:p>
    <w:p>
      <w:pPr>
        <w:ind w:left="0" w:right="0" w:firstLine="708"/>
        <w:jc w:val="both"/>
        <w:spacing w:after="0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Или ни тот ни другой вариант?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8. Екатерина Б.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У НКО формы АНО в уставе прописано следующее: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Предмет деятельности Организации: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...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40) привлечение инвестиций, направленных на улучшение материально-технической базы Организации для достижения целей, ради которых она создана.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41) привлечение на добровольной основе средств заинтересованных физических и юридических лиц для достижения уставных целей Организации.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Может ли АНО принимать пожертвования (не облагаемые налогом)?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Если да, то есть ли какие-то ограничения?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Может ли АНО получить от БФ по договору пожертвования основные средства, не возникнет ли налогов у обеих сторон.   Цели использования ОС после передачи не меняются.</w:t>
        <w:tab/>
      </w:r>
      <w:r/>
    </w:p>
    <w:p>
      <w:pPr>
        <w:ind w:left="0" w:right="0" w:firstLine="0"/>
        <w:spacing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9. Маргарита Николаевна К.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Как правильно Фонду (УСН 6%) отразить в бухгалтерском и налоговом учете НМА?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а) полученное программное обеспечение (ПО), безвозмездно, в качестве Пожертвования, оплаченное третьим лицом, срок использования тарифа – 12 мес., стоимость до 1 т.р. (файл)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б) литер. произведение (Сказка, 4000 знаков), стоимость в Договоре не определена, Исключительное право отчуждается Заказчику (Фонду) на безвозмездной основе 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 (файл)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10. Вера Ч.</w:t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1. Как на практике применить ФСБУ 5/2019 в отношении материальных ценностей которые поступают в адрес НКО (в частности, БФ) безвозмездно для передачи физическим или юридическим лицам. Все поступления осуществляются согласно уставной деятельности в рамках п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роектов и благотворительной программы.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У проектов есть бюджет.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Можно ли их признать «транзитными» и согласно рекомендации Р-167-ОК НКО и поставить их за баланс? Чтобы БФ не попал за счёт увеличения целевых средств на аудит. (До 3 млн. руб)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Если можно, то как проводить в программе 1С  - интересует абсолютно всё (номенклатура, количество, сумма)? Каким должен быть учёт? Насколько я понимаю, в смете/отчётах всё будет как раньше. Эти изменения возможны  только для программы 1С.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Достаточно ли бюджета? Как это проводить в учетной программе 1С НКО (там где ведутся сметы/отчёты по проектам)? </w:t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2. Также по пожертвованиям такого рода – необходимо ли мат. ценности, поступившие по договору пожертвования и имеющие оценку от передаваемого лица в акте (допустим от юр. лица) оценивать по рыночной стоимости? Или достаточно той стоимости что указаны в акт</w:t>
      </w:r>
      <w:r>
        <w:rPr>
          <w:rFonts w:ascii="Times New Roman" w:hAnsi="Times New Roman" w:eastAsia="Times New Roman" w:cs="Times New Roman"/>
          <w:color w:val="000000"/>
          <w:sz w:val="36"/>
        </w:rPr>
        <w:t xml:space="preserve">е приёма-передачи? 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11. Ирина К.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color w:val="00ff00"/>
          <w:sz w:val="36"/>
          <w:u w:val="none"/>
        </w:rPr>
        <w:t xml:space="preserve">ГАМОЛЬСКИЙ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whit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Если руководитель местной религиозной организации (церковь) выполняет свои обязанности безвозмездно и это прописано в протоколе избрания на должность, надо ли дополнительно заключать с ним договор с добровольцем/волонтёром?</w:t>
      </w:r>
      <w:r/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/>
    </w:p>
    <w:p>
      <w:pPr>
        <w:ind w:left="0" w:right="0" w:firstLine="708"/>
        <w:jc w:val="both"/>
        <w:spacing w:after="0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</w:rPr>
        <w:t xml:space="preserve">12. Максим Д.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 </w:t>
      </w:r>
      <w:r>
        <w:rPr>
          <w:rFonts w:ascii="Times New Roman" w:hAnsi="Times New Roman" w:eastAsia="Times New Roman" w:cs="Times New Roman"/>
          <w:b/>
          <w:color w:val="ffff00"/>
          <w:sz w:val="36"/>
          <w:u w:val="none"/>
        </w:rPr>
        <w:tab/>
        <w:t xml:space="preserve">САВКОВА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36"/>
          <w:szCs w:val="36"/>
          <w:highlight w:val="none"/>
          <w:u w:val="none"/>
          <w14:ligatures w14:val="none"/>
        </w:rPr>
      </w:r>
    </w:p>
    <w:p>
      <w:pPr>
        <w:ind w:left="0" w:right="0" w:firstLine="708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6"/>
        </w:rPr>
        <w:t xml:space="preserve">Были ли когда-нибудь вопросы по промежуточной отчётности для НКО по ФСБУ 4/2023? Дайте, пожалуйста, комментарий. Делать или не делать её?</w:t>
      </w:r>
      <w:r>
        <w:rPr>
          <w:rFonts w:ascii="Times New Roman" w:hAnsi="Times New Roman" w:eastAsia="Times New Roman" w:cs="Times New Roman"/>
          <w:color w:val="000000"/>
          <w:sz w:val="3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c2d2e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c2d2e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1">
    <w:name w:val="Heading 1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2"/>
    <w:basedOn w:val="660"/>
    <w:next w:val="836"/>
    <w:link w:val="663"/>
    <w:uiPriority w:val="9"/>
    <w:unhideWhenUsed/>
    <w:qFormat/>
    <w:rPr>
      <w:rFonts w:ascii="Liberation Sans" w:hAnsi="Liberation Sans" w:eastAsia="Liberation Sans" w:cs="Liberation Sans"/>
    </w:rPr>
  </w:style>
  <w:style w:type="character" w:styleId="663">
    <w:name w:val="Heading 2 Char"/>
    <w:link w:val="662"/>
    <w:uiPriority w:val="9"/>
    <w:rPr>
      <w:rFonts w:ascii="Liberation Sans" w:hAnsi="Liberation Sans" w:eastAsia="Liberation Sans" w:cs="Liberation Sans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5">
    <w:name w:val="Heading 3 Char"/>
    <w:link w:val="664"/>
    <w:uiPriority w:val="9"/>
    <w:rPr>
      <w:rFonts w:ascii="Liberation Sans" w:hAnsi="Liberation Sans" w:cs="Liberation Sans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Смирнова</cp:lastModifiedBy>
  <cp:revision>7</cp:revision>
  <dcterms:modified xsi:type="dcterms:W3CDTF">2025-03-11T05:35:53Z</dcterms:modified>
</cp:coreProperties>
</file>