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right="0" w:firstLine="708"/>
        <w:jc w:val="center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</w:rPr>
        <w:t xml:space="preserve">Вопросы к вебинару 18 февраля 2025 г. (вторник)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83" w:right="0" w:firstLine="708"/>
        <w:jc w:val="both"/>
        <w:spacing w:after="0"/>
        <w:rPr>
          <w:b/>
          <w:bCs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1. Ульяна Сергеевна К.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ind w:left="720" w:right="0" w:firstLine="0"/>
        <w:spacing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Основной вид деятельности НКО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 образовательные услуги. Услуги оказываются только на платной основе. Никаких других денежных поступлений больше нет. Система налогообложения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 УСН (Д-Р).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В конце года после реформации баланса прибыль или убыток со счета 84 переносим на счет 86 "Целевое финансирование" субсчет "Прибыль (убыток) по предпринимательской деятельности" и отражаем её в Отчете о целевом использовании средств по строке 6240 "Прибыль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 от приносящей доход деятельности".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На данный момент на счете 86 накопилась достаточно большая сумма.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Куда мы можем направить "прибыль от коммерческой деятельности" (счет 86), если некоммерческих проектов у нас нет?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83" w:right="0" w:firstLine="708"/>
        <w:jc w:val="both"/>
        <w:spacing w:after="0"/>
        <w:rPr>
          <w:b/>
          <w:bCs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2. Ирина Валентиновна П.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ab/>
        <w:t xml:space="preserve">САВКОВА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1. Вопрос по учету сайта организации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НКО имеет сайт, который ранее был разработан собственными силами и не был учтен как объект учета НМА, т.е. в бухгалтерском учете на 31.12.2023 не числится. В 2024 году сайт доработали в части дизайна и использования, что улучшает характеристики объекта и е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го прежнее использование.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Вопрос: Надо ли в 2024 году поставить на учет сайт как объект НМА, если расходы будут более 100 тыс. руб. (в учетной политики определен стоимостной критерий для объектов НМА)?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 2. Вопрос по учету видеоролика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НКО имеет на балансе по состоянию на 31.12.2023 видеоролик как объект учета НМА, по условиям договора это исключительная сублицензия права использования Исполнений актеров, Исполнения диктора, Фонограммы исполнения диктора с целью размещения на телевидении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 и в сети Интернет. Срок прав на использование истек 31.12.2021. По содержанию видеоролик остается актуальным.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Вопрос: Как правильно поступить, так как при отсутствии прав объект НМА надо списать в межотчетный период и соответственно в учете и балансе 2024 года его не будет числится? Может ли наша организация продлить срок использования видеоролика и как в этом слу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чае отразить в бухгалтерском учете факт хозяйственной деятельности?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3. Наталья З.</w:t>
      </w:r>
      <w:r>
        <w:rPr>
          <w:b/>
          <w:bCs/>
          <w:sz w:val="36"/>
          <w:szCs w:val="36"/>
        </w:rPr>
      </w:r>
      <w:r>
        <w:rPr>
          <w:sz w:val="36"/>
          <w:szCs w:val="36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ff"/>
          <w:sz w:val="36"/>
          <w:u w:val="none"/>
        </w:rPr>
        <w:t xml:space="preserve">ШАРОНОВА</w:t>
      </w:r>
      <w:r/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Российское НКО открыла представительство в Кыргызстане.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На счет представительства поступают пожертвования. в валюте.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По итогам каждого  квартала подаем отчет "Отчет о движении денежных средств и финансовых активов ЮЛ и ИП по счету в банке за пределами РФ, код формы отчетности по КНД 1112521"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Следует ли отображать полученные пожертвования на 86 счете в российской НКО?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Если да, то не будет ли в налоговой информации о задвоении сумм пожертвований?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4. Светлана Анатольевна М.</w:t>
      </w:r>
      <w:r>
        <w:rPr>
          <w:b/>
          <w:bCs/>
          <w:sz w:val="36"/>
          <w:szCs w:val="36"/>
        </w:rPr>
      </w:r>
      <w:r>
        <w:rPr>
          <w:sz w:val="36"/>
          <w:szCs w:val="36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Автономная некоммерческая организация (АНО), зарегистрирована в 4 квартале 2024 г. Основной вид экономической деятельности АНО по Общероссийскому классификатору видов экономической деятельности - 94.99 Деятельность прочих общественных организаций и некомме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рческих организаций, кроме религиозных и политических организаций. Уставной целью АНО является деятельность по предоставлению социальных услуг в сфере социальной поддержки и защиты детей, социального обслуживания семей и детей. АНО применяет упрощенную сис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тему налогообложения.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В 4 квартале 2024 года в АНО следующие поступления: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В рамках государственного контракта с государственным казенным учреждением социального обслуживания (ГКУСО) оказывала услуги по сопровождению воспитанников ГКУСО в стационарах учреждений здравоохранения, поступления составили 167 тыс. руб. Вид экономическо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й деятельности относится к виду, указанному в абзаце 54 подпункта 5 пункта 1 статьи 427 Налогового Кодекса Российской Федерации. Доля поступлений по услугам составила 94,68 %.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В форме целевых пожертвований на содержание некоммерческих организаций в соответствии с подпунктом 7 пункта 1 статьи 427, у АНО в 4 квартале 2024 г. составили 7,4 тыс. руб.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Иные доходы (бонусы Сбербанка) составили 2 тыс. руб.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Таким образом, доля поступлений по уставной деятельности составила 98,87% от суммы всех доходов.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В связи с вышеуказанным, просим представить разъяснения по следующим вопросам: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Вправе АНО в 4 квартале 2024 года применить единый пониженный тариф страховых взносов в размере 7,6 % в соответствии с пунктом 7 статьи 427 Налогового кодекса Российской Федерации?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Вправе АНО применять в 2025 году единый пониженный тариф страховых взносов в размере 7,6 % в соответствии с пунктом 7 статьи 427 Налогового кодекса Российской Федерации?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83" w:right="0" w:firstLine="708"/>
        <w:jc w:val="both"/>
        <w:spacing w:after="0"/>
        <w:rPr>
          <w:b/>
          <w:bCs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5. Марина Валерьевна М.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ind w:left="720" w:right="0" w:firstLine="0"/>
        <w:spacing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1) На 210-м вебинаре был рассмотрен вопрос от нашей НКО о том, допустимо ли списывать  на убытки начисленные, но не поступившие членские и целевые взносы. Вот с этого места: https://youtu.be/QVmcIww2n5s?t=1825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Мы получили рекомендацию: сумму по просроченным долгам включить в смету в виде статьи расходов с названием либо "создание резерва под ожидаемые взносы", либо "списание непоступивших взносов".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Означает ли это, что члены НКО в таком случае будут вынуждены в равных долях заплатить за должников? Ведь размер членского взноса рассчитывается делением итоговой суммы сметы на количество членов НКО.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 И можно ли в одну смету включать и ту, и другую статью расходов, если часть задолженностей уже безнадёжна, а часть еще может быть погашена должниками?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 2) 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У нас НКО (Союз), членами которого являются физ. лица. Бухгалтер выбрала вести учёт по начислению, хотя у нас есть право на упрощённый бухгалтерский учёт.  Бухгалтерская отчётность сдается упрощенная. Система налогообложения тоже упрощённая (УСНО).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Члены Союза в большинстве своем не платят вовремя в текущем году членские взносы. В результате на К-т 86 счета учитываются как оплаченные, так и неоплаченные членские взносы.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Как следует в таком случае учитывать членские взносы на К86 - по оплате или по начислению?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В И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нструкции по применению Плана счетов говорится, что на нём учитываются поступившие, полученные средства целевого назначения. В ОЦИС в строке 6210 тоже написано "Поступило средств".  Но бухгалтер считает, что на К-т 86 надо учитывать начисленные, а не оплач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енные целевые средства.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Если же вести учёт по оплате, то как учитывать долги по членским взносам?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83" w:right="0" w:firstLine="708"/>
        <w:jc w:val="both"/>
        <w:spacing w:after="0"/>
        <w:rPr>
          <w:b/>
          <w:bCs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6. Маргарита Николаевна К.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ab/>
        <w:t xml:space="preserve">САВКОВА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1. Фонд, УСН 6%, ОКВЭД 88.99 является Агентом по Договору агентских услуг (приобретение и оплата билетов, проживания и пр.) для участников мероприятий немедицинских сервисов в области здравоохранения.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Какие бухгалтерские проводки необходимо сделать (часть расходов были через Агента, часть через авансовый отчет)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2. Фонд получает через ОЗОН денежные средства, есть ли у нас основания считать эти поступления пожертвованием, т.к. в последнее время у НКО много разногласий по этим поступлениям на р/с?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3. Фонд, не являющийся благотворительным, УСН 6%, ОКВЭД 90.02, 90.01 «Деятельность вспомогательная, связанная с исполнительскими искусствами» планирует перевести благотворительное пожертвование в рамках уставной деятельности (стипендию) в виде единовременн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ой выплаты, код валютного перевода {70105} в руб, денежные средства нерезиденту Белорусской гос. хореогр. гимназии-колледжу в рамках реализации Программы "Стипендиаты Фонда на 2024-2025 учебный год". (по Российским учебным заведениям мы опирались на ст. 21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7, п.11 НК РФ)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Могут ли возникнуть у Фонда проблемы с ИФНС по налогам (облагаемая база), в связи с данной операцией?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83" w:right="0" w:firstLine="708"/>
        <w:jc w:val="both"/>
        <w:spacing w:after="0"/>
        <w:rPr>
          <w:b/>
          <w:bCs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7. Наталья Евгеньевна И.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283" w:right="0" w:firstLine="708"/>
        <w:jc w:val="both"/>
        <w:spacing w:after="0"/>
        <w:rPr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Что должны отражать некоммерческие организации в строке 1350 "Целевые средства" бухгалтерского баланса?</w:t>
      </w:r>
      <w:r>
        <w:rPr>
          <w:sz w:val="36"/>
          <w:szCs w:val="36"/>
        </w:rPr>
      </w:r>
      <w:r>
        <w:rPr>
          <w:sz w:val="36"/>
          <w:szCs w:val="36"/>
          <w:highlight w:val="none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8. Вероника Юрьевна Б.</w:t>
      </w:r>
      <w:r>
        <w:rPr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ab/>
        <w:t xml:space="preserve">САВКОВА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Общественная организация. Входит в список СО НКО. УСН ДОХОДЫ.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В 2018г. у банка отозвали лицензию. Денежные средства ЦФ остались в банке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Проводки Дт 51 Кт86 300 000 руб.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Можем мы сейчас списать эти средства и отразить проводкой Дт 86 Кт 51 сумма 300000 руб.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В декларации УСН раздел 3 не отражать этот остаток ЦФ 300 000 руб.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83" w:right="0" w:firstLine="708"/>
        <w:jc w:val="both"/>
        <w:spacing w:after="0"/>
        <w:rPr>
          <w:b/>
          <w:bCs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9. Татьяна Г.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АНО, находится на УСН с объектом "доходы минус расходы". Мы оформили лицензию на осуществление медицинской деятельности. Реализуем социальные проекты по реабилитации детей с ограниченными возможностями и принимаем бесплатно. Финансирование целевое в виде г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рантов и пожертвований. К нам еще обращаются за медицинской реабилитацией детей-инвалидов с оплатой по сертификатам, выданным региональными властями "Сертификат на реабилитацию детей инвалидов до 18 лет из Челябинской области". Сертификат именной, деньги п</w:t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оступают из казначейства (Министерства социальных отношений Челябинской области).  Закрывающими документами является договор на оказание услуг и акт выполненных работ, а поступление приходит на определённого ребёнка уже после реабилитации.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Будут ли данные поступления считаться деятельностью, приносящей доход и облагаться налогом УСН? </w:t>
      </w:r>
      <w:r>
        <w:rPr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Если да, то на каком счёте их учитывать?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3" w:right="0" w:firstLine="708"/>
        <w:jc w:val="both"/>
        <w:spacing w:after="0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</w:rPr>
        <w:t xml:space="preserve">Какие проводки должны быть в бухгалтерском учёте при реализации услуг и их оплате?</w:t>
      </w:r>
      <w:r>
        <w:rPr>
          <w:sz w:val="36"/>
          <w:szCs w:val="36"/>
        </w:rPr>
      </w:r>
      <w:r>
        <w:rPr>
          <w:sz w:val="36"/>
          <w:szCs w:val="3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Смирнова</cp:lastModifiedBy>
  <cp:revision>6</cp:revision>
  <dcterms:modified xsi:type="dcterms:W3CDTF">2025-02-18T07:07:10Z</dcterms:modified>
</cp:coreProperties>
</file>