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9AF0" w14:textId="77777777" w:rsidR="000C5FC2" w:rsidRPr="000C5FC2" w:rsidRDefault="000C5FC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b/>
          <w:bCs/>
          <w:color w:val="000000"/>
          <w:shd w:val="clear" w:color="auto" w:fill="FFFFFF"/>
          <w:lang w:val="ru-RU"/>
        </w:rPr>
      </w:pPr>
      <w:r w:rsidRPr="000C5FC2">
        <w:rPr>
          <w:rFonts w:eastAsia="Times New Roman"/>
          <w:b/>
          <w:bCs/>
          <w:color w:val="000000"/>
          <w:shd w:val="clear" w:color="auto" w:fill="FFFFFF"/>
          <w:lang w:val="ru-RU"/>
        </w:rPr>
        <w:t>2. Клавдия Т.</w:t>
      </w:r>
    </w:p>
    <w:p w14:paraId="6EDD3E36" w14:textId="77777777" w:rsidR="000C5FC2" w:rsidRPr="000C5FC2" w:rsidRDefault="000C5FC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0C5FC2">
        <w:rPr>
          <w:rFonts w:eastAsia="Times New Roman"/>
          <w:color w:val="000000"/>
          <w:shd w:val="clear" w:color="auto" w:fill="FFFFFF"/>
          <w:lang w:val="ru-RU"/>
        </w:rPr>
        <w:t>Вопрос относительно приобретения товаров на маркетплейсах, например на Озоне.</w:t>
      </w:r>
    </w:p>
    <w:p w14:paraId="38A8A28A" w14:textId="77777777" w:rsidR="000C5FC2" w:rsidRPr="000C5FC2" w:rsidRDefault="000C5FC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0C5FC2">
        <w:rPr>
          <w:rFonts w:eastAsia="Times New Roman"/>
          <w:color w:val="000000"/>
          <w:shd w:val="clear" w:color="auto" w:fill="FFFFFF"/>
          <w:lang w:val="ru-RU"/>
        </w:rPr>
        <w:t>Покупаем товары для благополучателей, выставляют счет от ООО «Интернет решения», мы его оплачиваем, а УПД-шки потом приходят от различных ИП, не от ООО «Интернет решения».</w:t>
      </w:r>
    </w:p>
    <w:p w14:paraId="38706AF7" w14:textId="77777777" w:rsidR="000C5FC2" w:rsidRPr="000C5FC2" w:rsidRDefault="000C5FC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0C5FC2">
        <w:rPr>
          <w:rFonts w:eastAsia="Times New Roman"/>
          <w:color w:val="000000"/>
          <w:shd w:val="clear" w:color="auto" w:fill="FFFFFF"/>
          <w:lang w:val="ru-RU"/>
        </w:rPr>
        <w:t>В качестве примера прилагаю реальный счет и УПД к нему.</w:t>
      </w:r>
    </w:p>
    <w:p w14:paraId="4BC44F9C" w14:textId="77777777" w:rsidR="000C5FC2" w:rsidRPr="000C5FC2" w:rsidRDefault="000C5FC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color w:val="000000"/>
          <w:shd w:val="clear" w:color="auto" w:fill="FFFFFF"/>
          <w:lang w:val="ru-RU"/>
        </w:rPr>
      </w:pPr>
      <w:r w:rsidRPr="000C5FC2">
        <w:rPr>
          <w:rFonts w:eastAsia="Times New Roman"/>
          <w:color w:val="000000"/>
          <w:shd w:val="clear" w:color="auto" w:fill="FFFFFF"/>
          <w:lang w:val="ru-RU"/>
        </w:rPr>
        <w:t>Как правильно такое отражать в учёте?</w:t>
      </w:r>
    </w:p>
    <w:p w14:paraId="12209ACE" w14:textId="77777777" w:rsidR="00414763" w:rsidRPr="004B6FA2" w:rsidRDefault="00414763" w:rsidP="004B6FA2">
      <w:pPr>
        <w:pBdr>
          <w:top w:val="single" w:sz="4" w:space="1" w:color="auto"/>
          <w:left w:val="single" w:sz="4" w:space="4" w:color="auto"/>
          <w:bottom w:val="single" w:sz="4" w:space="1" w:color="auto"/>
          <w:right w:val="single" w:sz="4" w:space="4" w:color="auto"/>
        </w:pBdr>
        <w:shd w:val="clear" w:color="auto" w:fill="FFFFFF"/>
        <w:spacing w:before="220" w:after="160" w:line="78" w:lineRule="atLeast"/>
        <w:ind w:firstLine="567"/>
        <w:jc w:val="both"/>
        <w:rPr>
          <w:rFonts w:eastAsia="Times New Roman"/>
          <w:b/>
          <w:bCs/>
          <w:color w:val="000000"/>
          <w:shd w:val="clear" w:color="auto" w:fill="FFFFFF"/>
          <w:lang w:val="ru-RU"/>
        </w:rPr>
      </w:pPr>
    </w:p>
    <w:p w14:paraId="0DD1ED12" w14:textId="19B77F48" w:rsidR="00562B1C" w:rsidRPr="00AA63F6" w:rsidRDefault="00AA63F6" w:rsidP="008E0CCD">
      <w:pPr>
        <w:spacing w:line="360" w:lineRule="auto"/>
        <w:ind w:firstLine="567"/>
        <w:jc w:val="both"/>
        <w:rPr>
          <w:rFonts w:eastAsia="Times New Roman"/>
          <w:b/>
          <w:bCs/>
          <w:color w:val="000000"/>
          <w:shd w:val="clear" w:color="auto" w:fill="FFFFFF"/>
          <w:lang w:val="ru-RU"/>
        </w:rPr>
      </w:pPr>
      <w:r w:rsidRPr="00AA63F6">
        <w:rPr>
          <w:rFonts w:eastAsia="Times New Roman"/>
          <w:b/>
          <w:bCs/>
          <w:color w:val="000000"/>
          <w:shd w:val="clear" w:color="auto" w:fill="FFFFFF"/>
          <w:lang w:val="ru-RU"/>
        </w:rPr>
        <w:t>СЧЕТ</w:t>
      </w:r>
      <w:r>
        <w:rPr>
          <w:rFonts w:eastAsia="Times New Roman"/>
          <w:b/>
          <w:bCs/>
          <w:color w:val="000000"/>
          <w:shd w:val="clear" w:color="auto" w:fill="FFFFFF"/>
          <w:lang w:val="ru-RU"/>
        </w:rPr>
        <w:t>-ОФЕРТА</w:t>
      </w:r>
    </w:p>
    <w:p w14:paraId="75E59699" w14:textId="5C0AF490" w:rsidR="00AA63F6" w:rsidRDefault="00AA63F6" w:rsidP="008E0CCD">
      <w:pPr>
        <w:spacing w:line="360" w:lineRule="auto"/>
        <w:ind w:firstLine="567"/>
        <w:jc w:val="both"/>
        <w:rPr>
          <w:b/>
          <w:bCs/>
          <w:lang w:val="ru-RU"/>
        </w:rPr>
      </w:pPr>
      <w:r>
        <w:t xml:space="preserve">Получатель </w:t>
      </w:r>
      <w:r w:rsidRPr="00AA63F6">
        <w:rPr>
          <w:b/>
          <w:bCs/>
          <w:lang w:val="ru-RU"/>
        </w:rPr>
        <w:t xml:space="preserve">ООО </w:t>
      </w:r>
      <w:r w:rsidRPr="00AA63F6">
        <w:rPr>
          <w:b/>
          <w:bCs/>
        </w:rPr>
        <w:t>Интернет Решения</w:t>
      </w:r>
    </w:p>
    <w:p w14:paraId="29EB5077" w14:textId="78CCC345" w:rsidR="00AA63F6" w:rsidRPr="00AA63F6" w:rsidRDefault="00AA63F6" w:rsidP="008E0CCD">
      <w:pPr>
        <w:spacing w:line="360" w:lineRule="auto"/>
        <w:ind w:firstLine="567"/>
        <w:jc w:val="both"/>
        <w:rPr>
          <w:rFonts w:eastAsia="Times New Roman"/>
          <w:b/>
          <w:bCs/>
          <w:color w:val="000000"/>
          <w:shd w:val="clear" w:color="auto" w:fill="FFFFFF"/>
          <w:lang w:val="ru-RU"/>
        </w:rPr>
      </w:pPr>
      <w:r w:rsidRPr="00AA63F6">
        <w:rPr>
          <w:rFonts w:eastAsia="Times New Roman"/>
          <w:b/>
          <w:bCs/>
          <w:color w:val="000000"/>
          <w:shd w:val="clear" w:color="auto" w:fill="FFFFFF"/>
          <w:lang w:val="ru-RU"/>
        </w:rPr>
        <w:t>Условия продажи товаров и услуг юридическим лицам на Сайте Ozon.ru</w:t>
      </w:r>
    </w:p>
    <w:p w14:paraId="7BE6C750" w14:textId="0FA51DFD" w:rsidR="00AA63F6" w:rsidRPr="00AA63F6" w:rsidRDefault="00AA63F6" w:rsidP="008E0CCD">
      <w:pPr>
        <w:spacing w:line="360" w:lineRule="auto"/>
        <w:ind w:firstLine="567"/>
        <w:jc w:val="both"/>
        <w:rPr>
          <w:rFonts w:eastAsia="Times New Roman"/>
          <w:color w:val="000000"/>
          <w:shd w:val="clear" w:color="auto" w:fill="FFFFFF"/>
          <w:lang w:val="ru-RU"/>
        </w:rPr>
      </w:pPr>
      <w:hyperlink r:id="rId5" w:history="1">
        <w:r w:rsidRPr="00AA63F6">
          <w:rPr>
            <w:rStyle w:val="a3"/>
            <w:rFonts w:eastAsia="Times New Roman"/>
            <w:shd w:val="clear" w:color="auto" w:fill="FFFFFF"/>
            <w:lang w:val="ru-RU"/>
          </w:rPr>
          <w:t>https://docs.ozon.ru/common/pravila-prodayoi-i-rekvizity/usloviya-prodayoi-tovarov-yuridicheskim-litsam-na-ozon-ru/?country=RU&amp;abt_att=1</w:t>
        </w:r>
      </w:hyperlink>
    </w:p>
    <w:p w14:paraId="22854ADC" w14:textId="77777777" w:rsidR="00AA63F6" w:rsidRPr="00AA63F6" w:rsidRDefault="00AA63F6" w:rsidP="00AA63F6">
      <w:pPr>
        <w:spacing w:line="360" w:lineRule="auto"/>
        <w:ind w:firstLine="567"/>
        <w:jc w:val="both"/>
        <w:rPr>
          <w:rFonts w:eastAsia="Times New Roman"/>
          <w:color w:val="000000"/>
          <w:shd w:val="clear" w:color="auto" w:fill="FFFFFF"/>
          <w:lang w:val="ru-RU"/>
        </w:rPr>
      </w:pPr>
      <w:r w:rsidRPr="00AA63F6">
        <w:rPr>
          <w:rFonts w:eastAsia="Times New Roman"/>
          <w:color w:val="000000"/>
          <w:shd w:val="clear" w:color="auto" w:fill="FFFFFF"/>
          <w:lang w:val="ru-RU"/>
        </w:rPr>
        <w:t>Проходя процедуру верификации и оформляя заказ на Сайте ozon.ru, Клиент соглашается с Условиями продажи товаров и услуг для юридических лиц (Условия), изложенными ниже.</w:t>
      </w:r>
    </w:p>
    <w:p w14:paraId="7C77DB8A" w14:textId="77777777" w:rsidR="00AA63F6" w:rsidRPr="00AA63F6" w:rsidRDefault="00AA63F6" w:rsidP="00AA63F6">
      <w:pPr>
        <w:spacing w:line="360" w:lineRule="auto"/>
        <w:ind w:firstLine="567"/>
        <w:jc w:val="both"/>
        <w:rPr>
          <w:rFonts w:eastAsia="Times New Roman"/>
          <w:color w:val="000000"/>
          <w:shd w:val="clear" w:color="auto" w:fill="FFFFFF"/>
          <w:lang w:val="ru-RU"/>
        </w:rPr>
      </w:pPr>
      <w:r w:rsidRPr="00AA63F6">
        <w:rPr>
          <w:rFonts w:eastAsia="Times New Roman"/>
          <w:color w:val="000000"/>
          <w:shd w:val="clear" w:color="auto" w:fill="FFFFFF"/>
          <w:lang w:val="ru-RU"/>
        </w:rPr>
        <w:t>Условия регулируют отношения, возникающие в связи с оформлением и выполнением заказов на Сайте:</w:t>
      </w:r>
    </w:p>
    <w:p w14:paraId="11642475" w14:textId="77777777" w:rsidR="00AA63F6" w:rsidRPr="00AA63F6" w:rsidRDefault="00AA63F6" w:rsidP="00AA63F6">
      <w:pPr>
        <w:spacing w:line="360" w:lineRule="auto"/>
        <w:ind w:firstLine="567"/>
        <w:jc w:val="both"/>
        <w:rPr>
          <w:rFonts w:eastAsia="Times New Roman"/>
          <w:color w:val="000000"/>
          <w:shd w:val="clear" w:color="auto" w:fill="FFFFFF"/>
          <w:lang w:val="ru-RU"/>
        </w:rPr>
      </w:pPr>
      <w:r w:rsidRPr="00AA63F6">
        <w:rPr>
          <w:rFonts w:eastAsia="Times New Roman"/>
          <w:color w:val="000000"/>
          <w:shd w:val="clear" w:color="auto" w:fill="FFFFFF"/>
          <w:lang w:val="ru-RU"/>
        </w:rPr>
        <w:t xml:space="preserve">(а) между </w:t>
      </w:r>
      <w:r w:rsidRPr="00AA63F6">
        <w:rPr>
          <w:rFonts w:eastAsia="Times New Roman"/>
          <w:b/>
          <w:bCs/>
          <w:color w:val="000000"/>
          <w:shd w:val="clear" w:color="auto" w:fill="FFFFFF"/>
          <w:lang w:val="ru-RU"/>
        </w:rPr>
        <w:t>Клиентом</w:t>
      </w:r>
      <w:r w:rsidRPr="00AA63F6">
        <w:rPr>
          <w:rFonts w:eastAsia="Times New Roman"/>
          <w:color w:val="000000"/>
          <w:shd w:val="clear" w:color="auto" w:fill="FFFFFF"/>
          <w:lang w:val="ru-RU"/>
        </w:rPr>
        <w:t>, ООО «</w:t>
      </w:r>
      <w:r w:rsidRPr="00AA63F6">
        <w:rPr>
          <w:rFonts w:eastAsia="Times New Roman"/>
          <w:b/>
          <w:bCs/>
          <w:color w:val="000000"/>
          <w:shd w:val="clear" w:color="auto" w:fill="FFFFFF"/>
          <w:lang w:val="ru-RU"/>
        </w:rPr>
        <w:t>Интернет Решения</w:t>
      </w:r>
      <w:r w:rsidRPr="00AA63F6">
        <w:rPr>
          <w:rFonts w:eastAsia="Times New Roman"/>
          <w:color w:val="000000"/>
          <w:shd w:val="clear" w:color="auto" w:fill="FFFFFF"/>
          <w:lang w:val="ru-RU"/>
        </w:rPr>
        <w:t xml:space="preserve">» (Ozon) и </w:t>
      </w:r>
      <w:r w:rsidRPr="00AA63F6">
        <w:rPr>
          <w:rFonts w:eastAsia="Times New Roman"/>
          <w:b/>
          <w:bCs/>
          <w:color w:val="000000"/>
          <w:shd w:val="clear" w:color="auto" w:fill="FFFFFF"/>
          <w:lang w:val="ru-RU"/>
        </w:rPr>
        <w:t>Продавцами</w:t>
      </w:r>
      <w:r w:rsidRPr="00AA63F6">
        <w:rPr>
          <w:rFonts w:eastAsia="Times New Roman"/>
          <w:color w:val="000000"/>
          <w:shd w:val="clear" w:color="auto" w:fill="FFFFFF"/>
          <w:lang w:val="ru-RU"/>
        </w:rPr>
        <w:t>;</w:t>
      </w:r>
    </w:p>
    <w:p w14:paraId="5E25970E" w14:textId="67405E08" w:rsidR="00AA63F6" w:rsidRPr="00AA63F6" w:rsidRDefault="00AA63F6" w:rsidP="00AA63F6">
      <w:pPr>
        <w:spacing w:line="360" w:lineRule="auto"/>
        <w:ind w:firstLine="567"/>
        <w:jc w:val="both"/>
        <w:rPr>
          <w:rFonts w:eastAsia="Times New Roman"/>
          <w:color w:val="000000"/>
          <w:shd w:val="clear" w:color="auto" w:fill="FFFFFF"/>
          <w:lang w:val="ru-RU"/>
        </w:rPr>
      </w:pPr>
      <w:r w:rsidRPr="00AA63F6">
        <w:rPr>
          <w:rFonts w:eastAsia="Times New Roman"/>
          <w:color w:val="000000"/>
          <w:shd w:val="clear" w:color="auto" w:fill="FFFFFF"/>
          <w:lang w:val="ru-RU"/>
        </w:rPr>
        <w:t xml:space="preserve">(б) между </w:t>
      </w:r>
      <w:r w:rsidRPr="00AA63F6">
        <w:rPr>
          <w:rFonts w:eastAsia="Times New Roman"/>
          <w:b/>
          <w:bCs/>
          <w:color w:val="000000"/>
          <w:shd w:val="clear" w:color="auto" w:fill="FFFFFF"/>
          <w:lang w:val="ru-RU"/>
        </w:rPr>
        <w:t>Клиентом</w:t>
      </w:r>
      <w:r w:rsidRPr="00AA63F6">
        <w:rPr>
          <w:rFonts w:eastAsia="Times New Roman"/>
          <w:color w:val="000000"/>
          <w:shd w:val="clear" w:color="auto" w:fill="FFFFFF"/>
          <w:lang w:val="ru-RU"/>
        </w:rPr>
        <w:t xml:space="preserve"> и ООО «</w:t>
      </w:r>
      <w:r w:rsidRPr="00AA63F6">
        <w:rPr>
          <w:rFonts w:eastAsia="Times New Roman"/>
          <w:b/>
          <w:bCs/>
          <w:color w:val="000000"/>
          <w:shd w:val="clear" w:color="auto" w:fill="FFFFFF"/>
          <w:lang w:val="ru-RU"/>
        </w:rPr>
        <w:t>Интернет Решения</w:t>
      </w:r>
      <w:r w:rsidRPr="00AA63F6">
        <w:rPr>
          <w:rFonts w:eastAsia="Times New Roman"/>
          <w:color w:val="000000"/>
          <w:shd w:val="clear" w:color="auto" w:fill="FFFFFF"/>
          <w:lang w:val="ru-RU"/>
        </w:rPr>
        <w:t>» (Ozon), если Ozon выступает в отношениях с Клиентом в роли Продавца.</w:t>
      </w:r>
    </w:p>
    <w:p w14:paraId="49BF5712" w14:textId="77777777" w:rsidR="00AA63F6" w:rsidRDefault="00AA63F6" w:rsidP="008E0CCD">
      <w:pPr>
        <w:spacing w:line="360" w:lineRule="auto"/>
        <w:ind w:firstLine="567"/>
        <w:jc w:val="both"/>
        <w:rPr>
          <w:rFonts w:eastAsia="Times New Roman"/>
          <w:b/>
          <w:bCs/>
          <w:color w:val="000000"/>
          <w:shd w:val="clear" w:color="auto" w:fill="FFFFFF"/>
          <w:lang w:val="ru-RU"/>
        </w:rPr>
      </w:pPr>
    </w:p>
    <w:p w14:paraId="1DE0B56B" w14:textId="198ACF10" w:rsidR="00F77BDC" w:rsidRDefault="00F77BDC" w:rsidP="008E0CCD">
      <w:pPr>
        <w:spacing w:line="360" w:lineRule="auto"/>
        <w:ind w:firstLine="567"/>
        <w:jc w:val="both"/>
        <w:rPr>
          <w:color w:val="172133"/>
          <w:sz w:val="23"/>
          <w:szCs w:val="23"/>
          <w:shd w:val="clear" w:color="auto" w:fill="FFFFFF"/>
          <w:lang w:val="ru-RU"/>
        </w:rPr>
      </w:pPr>
      <w:r>
        <w:rPr>
          <w:rStyle w:val="a8"/>
          <w:color w:val="172133"/>
          <w:sz w:val="23"/>
          <w:szCs w:val="23"/>
          <w:shd w:val="clear" w:color="auto" w:fill="FFFFFF"/>
        </w:rPr>
        <w:t>Ozon</w:t>
      </w:r>
      <w:r>
        <w:rPr>
          <w:color w:val="172133"/>
          <w:sz w:val="23"/>
          <w:szCs w:val="23"/>
          <w:shd w:val="clear" w:color="auto" w:fill="FFFFFF"/>
        </w:rPr>
        <w:t xml:space="preserve"> — Общество с ограниченной ответственностью «Интернет Решения» (ОГРН 1027739244741), являющееся владельцем Сайта, Продавцом либо </w:t>
      </w:r>
      <w:r w:rsidRPr="00F77BDC">
        <w:rPr>
          <w:i/>
          <w:iCs/>
          <w:color w:val="172133"/>
          <w:sz w:val="23"/>
          <w:szCs w:val="23"/>
          <w:shd w:val="clear" w:color="auto" w:fill="FFFFFF"/>
        </w:rPr>
        <w:t>действующее в отношениях с Клиентом по поручению других Продавцов</w:t>
      </w:r>
      <w:r>
        <w:rPr>
          <w:color w:val="172133"/>
          <w:sz w:val="23"/>
          <w:szCs w:val="23"/>
          <w:shd w:val="clear" w:color="auto" w:fill="FFFFFF"/>
        </w:rPr>
        <w:t>.</w:t>
      </w:r>
    </w:p>
    <w:p w14:paraId="72C35445" w14:textId="1F73753A" w:rsidR="002478CB" w:rsidRDefault="002478CB" w:rsidP="008E0CCD">
      <w:pPr>
        <w:spacing w:line="360" w:lineRule="auto"/>
        <w:ind w:firstLine="567"/>
        <w:jc w:val="both"/>
        <w:rPr>
          <w:color w:val="172133"/>
          <w:sz w:val="23"/>
          <w:szCs w:val="23"/>
          <w:shd w:val="clear" w:color="auto" w:fill="FFFFFF"/>
          <w:lang w:val="ru-RU"/>
        </w:rPr>
      </w:pPr>
      <w:r>
        <w:rPr>
          <w:rStyle w:val="a8"/>
          <w:color w:val="172133"/>
          <w:sz w:val="23"/>
          <w:szCs w:val="23"/>
          <w:shd w:val="clear" w:color="auto" w:fill="FFFFFF"/>
        </w:rPr>
        <w:t>Продавец</w:t>
      </w:r>
      <w:r>
        <w:rPr>
          <w:color w:val="172133"/>
          <w:sz w:val="23"/>
          <w:szCs w:val="23"/>
          <w:shd w:val="clear" w:color="auto" w:fill="FFFFFF"/>
        </w:rPr>
        <w:t xml:space="preserve"> — ООО «Интернет Решения», либо иное юридическое лицо или индивидуальный предприниматель, </w:t>
      </w:r>
      <w:r w:rsidRPr="002478CB">
        <w:rPr>
          <w:b/>
          <w:bCs/>
          <w:color w:val="172133"/>
          <w:sz w:val="23"/>
          <w:szCs w:val="23"/>
          <w:shd w:val="clear" w:color="auto" w:fill="FFFFFF"/>
        </w:rPr>
        <w:t>указанное в качестве Продавца на странице товара или услуги</w:t>
      </w:r>
      <w:r>
        <w:rPr>
          <w:color w:val="172133"/>
          <w:sz w:val="23"/>
          <w:szCs w:val="23"/>
          <w:shd w:val="clear" w:color="auto" w:fill="FFFFFF"/>
        </w:rPr>
        <w:t>, являющиеся собственником соответствующего товара или лицом, оказывающим услугу.</w:t>
      </w:r>
    </w:p>
    <w:p w14:paraId="6707AA5C" w14:textId="77777777" w:rsidR="002478CB" w:rsidRPr="002478CB" w:rsidRDefault="002478CB" w:rsidP="008E0CCD">
      <w:pPr>
        <w:spacing w:line="360" w:lineRule="auto"/>
        <w:ind w:firstLine="567"/>
        <w:jc w:val="both"/>
        <w:rPr>
          <w:rFonts w:eastAsia="Times New Roman"/>
          <w:b/>
          <w:bCs/>
          <w:color w:val="000000"/>
          <w:shd w:val="clear" w:color="auto" w:fill="FFFFFF"/>
          <w:lang w:val="ru-RU"/>
        </w:rPr>
      </w:pPr>
    </w:p>
    <w:p w14:paraId="03912F69" w14:textId="6FAB39B2" w:rsidR="00F77BDC" w:rsidRDefault="00F77BDC" w:rsidP="008E0CCD">
      <w:pPr>
        <w:spacing w:line="360" w:lineRule="auto"/>
        <w:ind w:firstLine="567"/>
        <w:jc w:val="both"/>
        <w:rPr>
          <w:rFonts w:eastAsia="Times New Roman"/>
          <w:b/>
          <w:bCs/>
          <w:color w:val="000000"/>
          <w:shd w:val="clear" w:color="auto" w:fill="FFFFFF"/>
          <w:lang w:val="ru-RU"/>
        </w:rPr>
      </w:pPr>
      <w:r>
        <w:rPr>
          <w:color w:val="172133"/>
          <w:sz w:val="23"/>
          <w:szCs w:val="23"/>
          <w:shd w:val="clear" w:color="auto" w:fill="FFFFFF"/>
        </w:rPr>
        <w:t xml:space="preserve">2.1.2. </w:t>
      </w:r>
      <w:r w:rsidRPr="00F77BDC">
        <w:rPr>
          <w:b/>
          <w:bCs/>
          <w:color w:val="172133"/>
          <w:sz w:val="23"/>
          <w:szCs w:val="23"/>
          <w:shd w:val="clear" w:color="auto" w:fill="FFFFFF"/>
        </w:rPr>
        <w:t>Клиент</w:t>
      </w:r>
      <w:r>
        <w:rPr>
          <w:color w:val="172133"/>
          <w:sz w:val="23"/>
          <w:szCs w:val="23"/>
          <w:shd w:val="clear" w:color="auto" w:fill="FFFFFF"/>
        </w:rPr>
        <w:t xml:space="preserve"> соглашается с Условиями продажи выбранных товаров и услуг нажатием кнопки «Оплатить онлайн» на последнем этапе оформления заказа на Сайте. Совершение указанных действий является фактом, подтверждающим </w:t>
      </w:r>
      <w:r w:rsidRPr="00F77BDC">
        <w:rPr>
          <w:b/>
          <w:bCs/>
          <w:color w:val="172133"/>
          <w:sz w:val="23"/>
          <w:szCs w:val="23"/>
          <w:shd w:val="clear" w:color="auto" w:fill="FFFFFF"/>
        </w:rPr>
        <w:t>заключение договора</w:t>
      </w:r>
      <w:r>
        <w:rPr>
          <w:color w:val="172133"/>
          <w:sz w:val="23"/>
          <w:szCs w:val="23"/>
          <w:shd w:val="clear" w:color="auto" w:fill="FFFFFF"/>
        </w:rPr>
        <w:t xml:space="preserve"> между </w:t>
      </w:r>
      <w:r w:rsidRPr="00F77BDC">
        <w:rPr>
          <w:b/>
          <w:bCs/>
          <w:color w:val="172133"/>
          <w:sz w:val="23"/>
          <w:szCs w:val="23"/>
          <w:shd w:val="clear" w:color="auto" w:fill="FFFFFF"/>
        </w:rPr>
        <w:t>Клиентом</w:t>
      </w:r>
      <w:r>
        <w:rPr>
          <w:color w:val="172133"/>
          <w:sz w:val="23"/>
          <w:szCs w:val="23"/>
          <w:shd w:val="clear" w:color="auto" w:fill="FFFFFF"/>
        </w:rPr>
        <w:t xml:space="preserve"> и </w:t>
      </w:r>
      <w:r w:rsidRPr="00F77BDC">
        <w:rPr>
          <w:b/>
          <w:bCs/>
          <w:color w:val="172133"/>
          <w:sz w:val="23"/>
          <w:szCs w:val="23"/>
          <w:shd w:val="clear" w:color="auto" w:fill="FFFFFF"/>
        </w:rPr>
        <w:t>Продавцом</w:t>
      </w:r>
      <w:r>
        <w:rPr>
          <w:color w:val="172133"/>
          <w:sz w:val="23"/>
          <w:szCs w:val="23"/>
          <w:shd w:val="clear" w:color="auto" w:fill="FFFFFF"/>
        </w:rPr>
        <w:t>.</w:t>
      </w:r>
    </w:p>
    <w:p w14:paraId="387BF844" w14:textId="77777777" w:rsidR="00F77BDC" w:rsidRDefault="00F77BDC" w:rsidP="008E0CCD">
      <w:pPr>
        <w:spacing w:line="360" w:lineRule="auto"/>
        <w:ind w:firstLine="567"/>
        <w:jc w:val="both"/>
        <w:rPr>
          <w:rFonts w:eastAsia="Times New Roman"/>
          <w:b/>
          <w:bCs/>
          <w:color w:val="000000"/>
          <w:shd w:val="clear" w:color="auto" w:fill="FFFFFF"/>
          <w:lang w:val="ru-RU"/>
        </w:rPr>
      </w:pPr>
    </w:p>
    <w:p w14:paraId="354B8550" w14:textId="0741ACE8" w:rsidR="00AA63F6" w:rsidRDefault="00AA63F6" w:rsidP="008E0CCD">
      <w:pPr>
        <w:spacing w:line="360" w:lineRule="auto"/>
        <w:ind w:firstLine="567"/>
        <w:jc w:val="both"/>
        <w:rPr>
          <w:rFonts w:eastAsia="Times New Roman"/>
          <w:color w:val="000000"/>
          <w:shd w:val="clear" w:color="auto" w:fill="FFFFFF"/>
          <w:lang w:val="ru-RU"/>
        </w:rPr>
      </w:pPr>
      <w:r>
        <w:rPr>
          <w:rFonts w:eastAsia="Times New Roman"/>
          <w:color w:val="000000"/>
          <w:shd w:val="clear" w:color="auto" w:fill="FFFFFF"/>
          <w:lang w:val="ru-RU"/>
        </w:rPr>
        <w:t>Рекомендуемые проводки:</w:t>
      </w:r>
    </w:p>
    <w:p w14:paraId="191B4D2F" w14:textId="65325921" w:rsidR="00260D23" w:rsidRDefault="00260D23" w:rsidP="008E0CCD">
      <w:pPr>
        <w:spacing w:line="360" w:lineRule="auto"/>
        <w:ind w:firstLine="567"/>
        <w:jc w:val="both"/>
        <w:rPr>
          <w:rFonts w:eastAsia="Times New Roman"/>
          <w:color w:val="000000"/>
          <w:shd w:val="clear" w:color="auto" w:fill="FFFFFF"/>
          <w:lang w:val="ru-RU"/>
        </w:rPr>
      </w:pPr>
      <w:r w:rsidRPr="00260D23">
        <w:rPr>
          <w:rFonts w:eastAsia="Times New Roman"/>
          <w:b/>
          <w:bCs/>
          <w:color w:val="000000"/>
          <w:shd w:val="clear" w:color="auto" w:fill="FFFFFF"/>
          <w:lang w:val="ru-RU"/>
        </w:rPr>
        <w:lastRenderedPageBreak/>
        <w:t>Д 76 К 51</w:t>
      </w:r>
      <w:r>
        <w:rPr>
          <w:rFonts w:eastAsia="Times New Roman"/>
          <w:color w:val="000000"/>
          <w:shd w:val="clear" w:color="auto" w:fill="FFFFFF"/>
          <w:lang w:val="ru-RU"/>
        </w:rPr>
        <w:t xml:space="preserve"> оплата маркетплейсу (ООО «Интернет решения»)</w:t>
      </w:r>
    </w:p>
    <w:p w14:paraId="30BB4AF0" w14:textId="77777777" w:rsidR="00260D23" w:rsidRDefault="00260D23" w:rsidP="008E0CCD">
      <w:pPr>
        <w:spacing w:line="360" w:lineRule="auto"/>
        <w:ind w:firstLine="567"/>
        <w:jc w:val="both"/>
        <w:rPr>
          <w:rFonts w:eastAsia="Times New Roman"/>
          <w:b/>
          <w:bCs/>
          <w:color w:val="000000"/>
          <w:shd w:val="clear" w:color="auto" w:fill="FFFFFF"/>
          <w:lang w:val="ru-RU"/>
        </w:rPr>
      </w:pPr>
    </w:p>
    <w:p w14:paraId="20FB9D66" w14:textId="41E4EAF6" w:rsidR="00260D23" w:rsidRDefault="00260D23" w:rsidP="008E0CCD">
      <w:pPr>
        <w:spacing w:line="360" w:lineRule="auto"/>
        <w:ind w:firstLine="567"/>
        <w:jc w:val="both"/>
        <w:rPr>
          <w:rFonts w:eastAsia="Times New Roman"/>
          <w:color w:val="000000"/>
          <w:shd w:val="clear" w:color="auto" w:fill="FFFFFF"/>
          <w:lang w:val="ru-RU"/>
        </w:rPr>
      </w:pPr>
      <w:r w:rsidRPr="00260D23">
        <w:rPr>
          <w:rFonts w:eastAsia="Times New Roman"/>
          <w:b/>
          <w:bCs/>
          <w:color w:val="000000"/>
          <w:shd w:val="clear" w:color="auto" w:fill="FFFFFF"/>
          <w:lang w:val="ru-RU"/>
        </w:rPr>
        <w:t>Д 10 К 60</w:t>
      </w:r>
      <w:r>
        <w:rPr>
          <w:rFonts w:eastAsia="Times New Roman"/>
          <w:color w:val="000000"/>
          <w:shd w:val="clear" w:color="auto" w:fill="FFFFFF"/>
          <w:lang w:val="ru-RU"/>
        </w:rPr>
        <w:t xml:space="preserve"> поступление товара от </w:t>
      </w:r>
      <w:r w:rsidR="00AA63F6">
        <w:rPr>
          <w:rFonts w:eastAsia="Times New Roman"/>
          <w:color w:val="000000"/>
          <w:shd w:val="clear" w:color="auto" w:fill="FFFFFF"/>
          <w:lang w:val="ru-RU"/>
        </w:rPr>
        <w:t>Продавца</w:t>
      </w:r>
    </w:p>
    <w:p w14:paraId="77AD3A2A" w14:textId="6F41C104" w:rsidR="00260D23" w:rsidRPr="00260D23" w:rsidRDefault="00260D23" w:rsidP="008E0CCD">
      <w:pPr>
        <w:spacing w:line="360" w:lineRule="auto"/>
        <w:ind w:firstLine="567"/>
        <w:jc w:val="both"/>
        <w:rPr>
          <w:rFonts w:eastAsia="Times New Roman"/>
          <w:color w:val="000000"/>
          <w:shd w:val="clear" w:color="auto" w:fill="FFFFFF"/>
          <w:lang w:val="ru-RU"/>
        </w:rPr>
      </w:pPr>
      <w:r>
        <w:rPr>
          <w:rFonts w:eastAsia="Times New Roman"/>
          <w:color w:val="000000"/>
          <w:shd w:val="clear" w:color="auto" w:fill="FFFFFF"/>
          <w:lang w:val="ru-RU"/>
        </w:rPr>
        <w:t>одновременно</w:t>
      </w:r>
    </w:p>
    <w:p w14:paraId="69204FDE" w14:textId="0616AD85" w:rsidR="00260D23" w:rsidRDefault="00260D23" w:rsidP="008E0CCD">
      <w:pPr>
        <w:spacing w:line="360" w:lineRule="auto"/>
        <w:ind w:firstLine="567"/>
        <w:jc w:val="both"/>
        <w:rPr>
          <w:rFonts w:eastAsia="Times New Roman"/>
          <w:color w:val="000000"/>
          <w:shd w:val="clear" w:color="auto" w:fill="FFFFFF"/>
          <w:lang w:val="ru-RU"/>
        </w:rPr>
      </w:pPr>
      <w:r w:rsidRPr="00260D23">
        <w:rPr>
          <w:rFonts w:eastAsia="Times New Roman"/>
          <w:b/>
          <w:bCs/>
          <w:color w:val="000000"/>
          <w:shd w:val="clear" w:color="auto" w:fill="FFFFFF"/>
          <w:lang w:val="ru-RU"/>
        </w:rPr>
        <w:t>Д 60 К</w:t>
      </w:r>
      <w:r w:rsidR="00AA63F6">
        <w:rPr>
          <w:rFonts w:eastAsia="Times New Roman"/>
          <w:b/>
          <w:bCs/>
          <w:color w:val="000000"/>
          <w:shd w:val="clear" w:color="auto" w:fill="FFFFFF"/>
          <w:lang w:val="ru-RU"/>
        </w:rPr>
        <w:t xml:space="preserve"> </w:t>
      </w:r>
      <w:r w:rsidRPr="00260D23">
        <w:rPr>
          <w:rFonts w:eastAsia="Times New Roman"/>
          <w:b/>
          <w:bCs/>
          <w:color w:val="000000"/>
          <w:shd w:val="clear" w:color="auto" w:fill="FFFFFF"/>
          <w:lang w:val="ru-RU"/>
        </w:rPr>
        <w:t>76</w:t>
      </w:r>
      <w:r>
        <w:rPr>
          <w:rFonts w:eastAsia="Times New Roman"/>
          <w:color w:val="000000"/>
          <w:shd w:val="clear" w:color="auto" w:fill="FFFFFF"/>
          <w:lang w:val="ru-RU"/>
        </w:rPr>
        <w:t xml:space="preserve"> зачет оплаты с маркетпейсом</w:t>
      </w:r>
    </w:p>
    <w:p w14:paraId="19A489C8" w14:textId="6A7F8AAC" w:rsidR="00984949" w:rsidRDefault="00984949" w:rsidP="008E0CCD">
      <w:pPr>
        <w:spacing w:line="360" w:lineRule="auto"/>
        <w:ind w:firstLine="567"/>
        <w:jc w:val="both"/>
        <w:rPr>
          <w:rFonts w:eastAsia="Times New Roman"/>
          <w:color w:val="000000"/>
          <w:shd w:val="clear" w:color="auto" w:fill="FFFFFF"/>
          <w:lang w:val="ru-RU"/>
        </w:rPr>
      </w:pPr>
      <w:r>
        <w:rPr>
          <w:rFonts w:eastAsia="Times New Roman"/>
          <w:color w:val="000000"/>
          <w:shd w:val="clear" w:color="auto" w:fill="FFFFFF"/>
          <w:lang w:val="ru-RU"/>
        </w:rPr>
        <w:br w:type="page"/>
      </w:r>
    </w:p>
    <w:p w14:paraId="54C33B8B" w14:textId="387EB349" w:rsidR="000C5FC2" w:rsidRPr="000C5FC2" w:rsidRDefault="007479C3"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b/>
          <w:bCs/>
          <w:color w:val="000000"/>
          <w:shd w:val="clear" w:color="auto" w:fill="FFFFFF"/>
          <w:lang w:val="ru-RU"/>
        </w:rPr>
      </w:pPr>
      <w:r w:rsidRPr="007479C3">
        <w:rPr>
          <w:rFonts w:eastAsia="Times New Roman"/>
          <w:b/>
          <w:bCs/>
          <w:color w:val="000000"/>
          <w:shd w:val="clear" w:color="auto" w:fill="FFFFFF"/>
          <w:lang w:val="ru-RU"/>
        </w:rPr>
        <w:lastRenderedPageBreak/>
        <w:t xml:space="preserve">Вопрос </w:t>
      </w:r>
      <w:r w:rsidR="000C5FC2">
        <w:rPr>
          <w:rFonts w:eastAsia="Times New Roman"/>
          <w:b/>
          <w:bCs/>
          <w:color w:val="000000"/>
          <w:shd w:val="clear" w:color="auto" w:fill="FFFFFF"/>
          <w:lang w:val="ru-RU"/>
        </w:rPr>
        <w:t>5</w:t>
      </w:r>
      <w:r w:rsidR="000C5FC2" w:rsidRPr="000C5FC2">
        <w:rPr>
          <w:rFonts w:eastAsia="Times New Roman"/>
          <w:b/>
          <w:bCs/>
          <w:color w:val="000000"/>
          <w:shd w:val="clear" w:color="auto" w:fill="FFFFFF"/>
          <w:lang w:val="ru-RU"/>
        </w:rPr>
        <w:t>. Наталья Евгеньевна И.</w:t>
      </w:r>
    </w:p>
    <w:p w14:paraId="60D021E7" w14:textId="42D8DE37" w:rsidR="000C5FC2" w:rsidRPr="000C5FC2" w:rsidRDefault="000C5FC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0C5FC2">
        <w:rPr>
          <w:rFonts w:eastAsia="Times New Roman"/>
          <w:color w:val="000000"/>
          <w:shd w:val="clear" w:color="auto" w:fill="FFFFFF"/>
          <w:lang w:val="ru-RU"/>
        </w:rPr>
        <w:t>Подскажите, пожалуйста, как с 2024 г. НКО на УСН (доходы) должна отражать в учете исключительные и неисключительные права на программы ЭВМ?</w:t>
      </w:r>
    </w:p>
    <w:p w14:paraId="2A29117B" w14:textId="4D4D8223" w:rsidR="009E4C9C" w:rsidRDefault="000C5FC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r w:rsidRPr="000C5FC2">
        <w:rPr>
          <w:rFonts w:eastAsia="Times New Roman"/>
          <w:color w:val="000000"/>
          <w:shd w:val="clear" w:color="auto" w:fill="FFFFFF"/>
          <w:lang w:val="ru-RU"/>
        </w:rPr>
        <w:t>Можно единовременно списывать годовые обновления программ (неисключительные права) или надо списывать 1/12 стоимость годового обновления ежемесячно?</w:t>
      </w:r>
    </w:p>
    <w:p w14:paraId="3A8CECFC" w14:textId="77777777" w:rsidR="000472D2" w:rsidRPr="000C5FC2" w:rsidRDefault="000472D2" w:rsidP="000C5FC2">
      <w:pPr>
        <w:pBdr>
          <w:top w:val="single" w:sz="4" w:space="1" w:color="auto"/>
          <w:left w:val="single" w:sz="4" w:space="4" w:color="auto"/>
          <w:bottom w:val="single" w:sz="4" w:space="1" w:color="auto"/>
          <w:right w:val="single" w:sz="4" w:space="4" w:color="auto"/>
        </w:pBdr>
        <w:shd w:val="clear" w:color="auto" w:fill="FFFFFF"/>
        <w:spacing w:before="220" w:after="160" w:line="78" w:lineRule="atLeast"/>
        <w:jc w:val="both"/>
        <w:rPr>
          <w:rFonts w:eastAsia="Times New Roman"/>
          <w:color w:val="000000"/>
          <w:shd w:val="clear" w:color="auto" w:fill="FFFFFF"/>
          <w:lang w:val="ru-RU"/>
        </w:rPr>
      </w:pPr>
    </w:p>
    <w:p w14:paraId="1C04EF76" w14:textId="77777777" w:rsidR="00467C7C" w:rsidRPr="00467C7C" w:rsidRDefault="00467C7C" w:rsidP="00467C7C">
      <w:pPr>
        <w:spacing w:after="150" w:line="240" w:lineRule="auto"/>
        <w:jc w:val="both"/>
        <w:rPr>
          <w:rFonts w:eastAsia="Times New Roman"/>
          <w:b/>
          <w:bCs/>
          <w:color w:val="222222"/>
          <w:sz w:val="21"/>
          <w:szCs w:val="21"/>
          <w:lang w:val="ru-RU"/>
        </w:rPr>
      </w:pPr>
      <w:r w:rsidRPr="00467C7C">
        <w:rPr>
          <w:rFonts w:eastAsia="Times New Roman"/>
          <w:b/>
          <w:bCs/>
          <w:color w:val="222222"/>
          <w:sz w:val="21"/>
          <w:szCs w:val="21"/>
          <w:lang w:val="ru-RU"/>
        </w:rPr>
        <w:t>ФСБУ 26/2020 "Капитальные вложения"</w:t>
      </w:r>
    </w:p>
    <w:p w14:paraId="6A3B8FED" w14:textId="77777777" w:rsidR="00467C7C" w:rsidRPr="00467C7C" w:rsidRDefault="00467C7C" w:rsidP="00467C7C">
      <w:pPr>
        <w:spacing w:after="150" w:line="240" w:lineRule="auto"/>
        <w:rPr>
          <w:rFonts w:eastAsia="Times New Roman"/>
          <w:color w:val="222222"/>
          <w:sz w:val="21"/>
          <w:szCs w:val="21"/>
          <w:lang w:val="ru-RU"/>
        </w:rPr>
      </w:pPr>
      <w:r w:rsidRPr="00467C7C">
        <w:rPr>
          <w:rFonts w:eastAsia="Times New Roman"/>
          <w:color w:val="222222"/>
          <w:sz w:val="21"/>
          <w:szCs w:val="21"/>
          <w:lang w:val="ru-RU"/>
        </w:rPr>
        <w:t xml:space="preserve">4. Организация, которая вправе применять </w:t>
      </w:r>
      <w:r w:rsidRPr="00467C7C">
        <w:rPr>
          <w:rFonts w:eastAsia="Times New Roman"/>
          <w:b/>
          <w:bCs/>
          <w:color w:val="222222"/>
          <w:sz w:val="21"/>
          <w:szCs w:val="21"/>
          <w:lang w:val="ru-RU"/>
        </w:rPr>
        <w:t>упрощенные способы ведения бухгалтерского учета</w:t>
      </w:r>
      <w:r w:rsidRPr="00467C7C">
        <w:rPr>
          <w:rFonts w:eastAsia="Times New Roman"/>
          <w:color w:val="222222"/>
          <w:sz w:val="21"/>
          <w:szCs w:val="21"/>
          <w:lang w:val="ru-RU"/>
        </w:rPr>
        <w:t>, включая упрощенную бухгалтерскую (финансовую) отчетность, может:</w:t>
      </w:r>
    </w:p>
    <w:p w14:paraId="32DAF691" w14:textId="7B1B75DC" w:rsidR="00467C7C" w:rsidRPr="00467C7C" w:rsidRDefault="00467C7C" w:rsidP="00467C7C">
      <w:pPr>
        <w:spacing w:after="150" w:line="240" w:lineRule="auto"/>
        <w:rPr>
          <w:rFonts w:eastAsia="Times New Roman"/>
          <w:color w:val="222222"/>
          <w:sz w:val="21"/>
          <w:szCs w:val="21"/>
          <w:lang w:val="ru-RU"/>
        </w:rPr>
      </w:pPr>
      <w:r w:rsidRPr="00467C7C">
        <w:rPr>
          <w:rFonts w:eastAsia="Times New Roman"/>
          <w:color w:val="222222"/>
          <w:sz w:val="21"/>
          <w:szCs w:val="21"/>
          <w:lang w:val="ru-RU"/>
        </w:rPr>
        <w:t xml:space="preserve">б) признавать затраты на приобретение, создание, улучшение объектов, которые подлежат принятию к бухгалтерскому учету в качестве нематериальных активов, в составе расходов по обычным видам деятельности </w:t>
      </w:r>
      <w:r w:rsidRPr="00467C7C">
        <w:rPr>
          <w:rFonts w:eastAsia="Times New Roman"/>
          <w:b/>
          <w:bCs/>
          <w:color w:val="222222"/>
          <w:sz w:val="21"/>
          <w:szCs w:val="21"/>
          <w:lang w:val="ru-RU"/>
        </w:rPr>
        <w:t>в полной сумме по мере их осуществления</w:t>
      </w:r>
      <w:r w:rsidRPr="00467C7C">
        <w:rPr>
          <w:rFonts w:eastAsia="Times New Roman"/>
          <w:color w:val="222222"/>
          <w:sz w:val="21"/>
          <w:szCs w:val="21"/>
          <w:lang w:val="ru-RU"/>
        </w:rPr>
        <w:t>.</w:t>
      </w:r>
    </w:p>
    <w:p w14:paraId="768EC720" w14:textId="11D471F8" w:rsidR="00467C7C" w:rsidRDefault="00467C7C" w:rsidP="00467C7C">
      <w:pPr>
        <w:spacing w:after="150" w:line="240" w:lineRule="auto"/>
        <w:jc w:val="both"/>
        <w:rPr>
          <w:rFonts w:eastAsia="Times New Roman"/>
          <w:b/>
          <w:bCs/>
          <w:color w:val="222222"/>
          <w:sz w:val="21"/>
          <w:szCs w:val="21"/>
          <w:lang w:val="ru-RU"/>
        </w:rPr>
      </w:pPr>
    </w:p>
    <w:p w14:paraId="2D06DEBB" w14:textId="5E7A1687" w:rsidR="000472D2" w:rsidRPr="000472D2" w:rsidRDefault="000472D2" w:rsidP="000472D2">
      <w:pPr>
        <w:spacing w:after="150" w:line="240" w:lineRule="auto"/>
        <w:jc w:val="both"/>
        <w:rPr>
          <w:rFonts w:eastAsia="Times New Roman"/>
          <w:b/>
          <w:bCs/>
          <w:color w:val="222222"/>
          <w:sz w:val="21"/>
          <w:szCs w:val="21"/>
          <w:lang w:val="ru-RU"/>
        </w:rPr>
      </w:pPr>
      <w:r w:rsidRPr="000472D2">
        <w:rPr>
          <w:rFonts w:eastAsia="Times New Roman"/>
          <w:b/>
          <w:bCs/>
          <w:color w:val="222222"/>
          <w:sz w:val="21"/>
          <w:szCs w:val="21"/>
          <w:lang w:val="ru-RU"/>
        </w:rPr>
        <w:t>ФСБУ 14/2022 «Нематериальные активы»</w:t>
      </w:r>
    </w:p>
    <w:p w14:paraId="01753BF9" w14:textId="72588720" w:rsidR="000472D2" w:rsidRPr="000472D2" w:rsidRDefault="000472D2" w:rsidP="000472D2">
      <w:pPr>
        <w:spacing w:after="150" w:line="240" w:lineRule="auto"/>
        <w:jc w:val="both"/>
        <w:rPr>
          <w:rFonts w:eastAsia="Times New Roman"/>
          <w:color w:val="222222"/>
          <w:sz w:val="21"/>
          <w:szCs w:val="21"/>
          <w:lang w:val="ru-RU"/>
        </w:rPr>
      </w:pPr>
      <w:r w:rsidRPr="000472D2">
        <w:rPr>
          <w:rFonts w:eastAsia="Times New Roman"/>
          <w:color w:val="222222"/>
          <w:sz w:val="21"/>
          <w:szCs w:val="21"/>
          <w:lang w:val="ru-RU"/>
        </w:rPr>
        <w:t>Объект признают нематериальным активом, если он одновременно отвечает следующим признакам из </w:t>
      </w:r>
      <w:hyperlink r:id="rId6" w:anchor="/document/99/350760974/XA00M2U2M0/" w:tgtFrame="_self" w:history="1">
        <w:r w:rsidRPr="000472D2">
          <w:rPr>
            <w:rFonts w:eastAsia="Times New Roman"/>
            <w:sz w:val="21"/>
            <w:szCs w:val="21"/>
            <w:u w:val="single"/>
            <w:lang w:val="ru-RU"/>
          </w:rPr>
          <w:t>пункта 4 ФСБУ 14/2022</w:t>
        </w:r>
      </w:hyperlink>
      <w:r w:rsidRPr="000472D2">
        <w:rPr>
          <w:rFonts w:eastAsia="Times New Roman"/>
          <w:color w:val="222222"/>
          <w:sz w:val="21"/>
          <w:szCs w:val="21"/>
          <w:lang w:val="ru-RU"/>
        </w:rPr>
        <w:t>:</w:t>
      </w:r>
    </w:p>
    <w:p w14:paraId="098A8106" w14:textId="77777777" w:rsidR="000472D2" w:rsidRPr="000472D2" w:rsidRDefault="000472D2" w:rsidP="000472D2">
      <w:pPr>
        <w:numPr>
          <w:ilvl w:val="0"/>
          <w:numId w:val="4"/>
        </w:numPr>
        <w:spacing w:line="240" w:lineRule="auto"/>
        <w:ind w:left="990"/>
        <w:jc w:val="both"/>
        <w:rPr>
          <w:rFonts w:eastAsia="Times New Roman"/>
          <w:color w:val="222222"/>
          <w:sz w:val="21"/>
          <w:szCs w:val="21"/>
          <w:lang w:val="ru-RU"/>
        </w:rPr>
      </w:pPr>
      <w:r w:rsidRPr="000472D2">
        <w:rPr>
          <w:rFonts w:eastAsia="Times New Roman"/>
          <w:color w:val="222222"/>
          <w:sz w:val="21"/>
          <w:szCs w:val="21"/>
          <w:lang w:val="ru-RU"/>
        </w:rPr>
        <w:t>он не имеет материально-вещественной формы;</w:t>
      </w:r>
    </w:p>
    <w:p w14:paraId="21847430" w14:textId="77777777" w:rsidR="000472D2" w:rsidRPr="000472D2" w:rsidRDefault="000472D2" w:rsidP="000472D2">
      <w:pPr>
        <w:numPr>
          <w:ilvl w:val="0"/>
          <w:numId w:val="4"/>
        </w:numPr>
        <w:spacing w:line="240" w:lineRule="auto"/>
        <w:ind w:left="990"/>
        <w:jc w:val="both"/>
        <w:rPr>
          <w:rFonts w:eastAsia="Times New Roman"/>
          <w:color w:val="222222"/>
          <w:sz w:val="21"/>
          <w:szCs w:val="21"/>
          <w:lang w:val="ru-RU"/>
        </w:rPr>
      </w:pPr>
      <w:r w:rsidRPr="000472D2">
        <w:rPr>
          <w:rFonts w:eastAsia="Times New Roman"/>
          <w:color w:val="222222"/>
          <w:sz w:val="21"/>
          <w:szCs w:val="21"/>
          <w:lang w:val="ru-RU"/>
        </w:rPr>
        <w:t>предназначен для использования в деятельности организации, предоставления во временное пользование или управленческих нужд;</w:t>
      </w:r>
    </w:p>
    <w:p w14:paraId="716A0C78" w14:textId="77777777" w:rsidR="000472D2" w:rsidRPr="000472D2" w:rsidRDefault="000472D2" w:rsidP="000472D2">
      <w:pPr>
        <w:numPr>
          <w:ilvl w:val="0"/>
          <w:numId w:val="4"/>
        </w:numPr>
        <w:spacing w:line="240" w:lineRule="auto"/>
        <w:ind w:left="990"/>
        <w:jc w:val="both"/>
        <w:rPr>
          <w:rFonts w:eastAsia="Times New Roman"/>
          <w:color w:val="222222"/>
          <w:sz w:val="21"/>
          <w:szCs w:val="21"/>
          <w:lang w:val="ru-RU"/>
        </w:rPr>
      </w:pPr>
      <w:r w:rsidRPr="000472D2">
        <w:rPr>
          <w:rFonts w:eastAsia="Times New Roman"/>
          <w:color w:val="222222"/>
          <w:sz w:val="21"/>
          <w:szCs w:val="21"/>
          <w:lang w:val="ru-RU"/>
        </w:rPr>
        <w:t>организация предполагает его использовать более 12 месяцев или обычного операционного цикла, превышающего 12 месяцев;</w:t>
      </w:r>
    </w:p>
    <w:p w14:paraId="0C6D548A" w14:textId="77777777" w:rsidR="000472D2" w:rsidRPr="000472D2" w:rsidRDefault="000472D2" w:rsidP="000472D2">
      <w:pPr>
        <w:numPr>
          <w:ilvl w:val="0"/>
          <w:numId w:val="4"/>
        </w:numPr>
        <w:spacing w:line="240" w:lineRule="auto"/>
        <w:ind w:left="990"/>
        <w:jc w:val="both"/>
        <w:rPr>
          <w:rFonts w:eastAsia="Times New Roman"/>
          <w:color w:val="222222"/>
          <w:sz w:val="21"/>
          <w:szCs w:val="21"/>
          <w:lang w:val="ru-RU"/>
        </w:rPr>
      </w:pPr>
      <w:r w:rsidRPr="000472D2">
        <w:rPr>
          <w:rFonts w:eastAsia="Times New Roman"/>
          <w:color w:val="222222"/>
          <w:sz w:val="21"/>
          <w:szCs w:val="21"/>
          <w:lang w:val="ru-RU"/>
        </w:rPr>
        <w:t>способен приносить экономические выгоды в будущем;</w:t>
      </w:r>
    </w:p>
    <w:p w14:paraId="5950F471" w14:textId="77777777" w:rsidR="000472D2" w:rsidRPr="000472D2" w:rsidRDefault="000472D2" w:rsidP="000472D2">
      <w:pPr>
        <w:numPr>
          <w:ilvl w:val="0"/>
          <w:numId w:val="4"/>
        </w:numPr>
        <w:spacing w:line="240" w:lineRule="auto"/>
        <w:ind w:left="990"/>
        <w:jc w:val="both"/>
        <w:rPr>
          <w:rFonts w:eastAsia="Times New Roman"/>
          <w:color w:val="222222"/>
          <w:sz w:val="21"/>
          <w:szCs w:val="21"/>
          <w:lang w:val="ru-RU"/>
        </w:rPr>
      </w:pPr>
      <w:r w:rsidRPr="000472D2">
        <w:rPr>
          <w:rFonts w:eastAsia="Times New Roman"/>
          <w:color w:val="222222"/>
          <w:sz w:val="21"/>
          <w:szCs w:val="21"/>
          <w:lang w:val="ru-RU"/>
        </w:rPr>
        <w:t xml:space="preserve">у организации есть </w:t>
      </w:r>
      <w:r w:rsidRPr="000472D2">
        <w:rPr>
          <w:rFonts w:eastAsia="Times New Roman"/>
          <w:b/>
          <w:bCs/>
          <w:color w:val="222222"/>
          <w:sz w:val="21"/>
          <w:szCs w:val="21"/>
          <w:lang w:val="ru-RU"/>
        </w:rPr>
        <w:t>исключительное право</w:t>
      </w:r>
      <w:r w:rsidRPr="000472D2">
        <w:rPr>
          <w:rFonts w:eastAsia="Times New Roman"/>
          <w:color w:val="222222"/>
          <w:sz w:val="21"/>
          <w:szCs w:val="21"/>
          <w:lang w:val="ru-RU"/>
        </w:rPr>
        <w:t xml:space="preserve"> на актив, подтвержденное документами, или актив получен по </w:t>
      </w:r>
      <w:r w:rsidRPr="000472D2">
        <w:rPr>
          <w:rFonts w:eastAsia="Times New Roman"/>
          <w:b/>
          <w:bCs/>
          <w:color w:val="222222"/>
          <w:sz w:val="21"/>
          <w:szCs w:val="21"/>
          <w:lang w:val="ru-RU"/>
        </w:rPr>
        <w:t>лицензионному договору/на основание разрешительных документов</w:t>
      </w:r>
      <w:r w:rsidRPr="000472D2">
        <w:rPr>
          <w:rFonts w:eastAsia="Times New Roman"/>
          <w:color w:val="222222"/>
          <w:sz w:val="21"/>
          <w:szCs w:val="21"/>
          <w:lang w:val="ru-RU"/>
        </w:rPr>
        <w:t>;</w:t>
      </w:r>
    </w:p>
    <w:p w14:paraId="11BE89BE" w14:textId="77777777" w:rsidR="000472D2" w:rsidRPr="000472D2" w:rsidRDefault="000472D2" w:rsidP="000472D2">
      <w:pPr>
        <w:numPr>
          <w:ilvl w:val="0"/>
          <w:numId w:val="4"/>
        </w:numPr>
        <w:spacing w:line="240" w:lineRule="auto"/>
        <w:ind w:left="990"/>
        <w:jc w:val="both"/>
        <w:rPr>
          <w:rFonts w:eastAsia="Times New Roman"/>
          <w:color w:val="ED0000"/>
          <w:sz w:val="21"/>
          <w:szCs w:val="21"/>
          <w:lang w:val="ru-RU"/>
        </w:rPr>
      </w:pPr>
      <w:r w:rsidRPr="000472D2">
        <w:rPr>
          <w:rFonts w:eastAsia="Times New Roman"/>
          <w:color w:val="ED0000"/>
          <w:sz w:val="21"/>
          <w:szCs w:val="21"/>
          <w:lang w:val="ru-RU"/>
        </w:rPr>
        <w:t>организация может ограничить доступ иных лиц к активу;</w:t>
      </w:r>
    </w:p>
    <w:p w14:paraId="55B6E6B5" w14:textId="77777777" w:rsidR="000472D2" w:rsidRPr="000472D2" w:rsidRDefault="000472D2" w:rsidP="000472D2">
      <w:pPr>
        <w:numPr>
          <w:ilvl w:val="0"/>
          <w:numId w:val="4"/>
        </w:numPr>
        <w:spacing w:line="240" w:lineRule="auto"/>
        <w:ind w:left="990"/>
        <w:jc w:val="both"/>
        <w:rPr>
          <w:rFonts w:eastAsia="Times New Roman"/>
          <w:color w:val="222222"/>
          <w:sz w:val="21"/>
          <w:szCs w:val="21"/>
          <w:lang w:val="ru-RU"/>
        </w:rPr>
      </w:pPr>
      <w:r w:rsidRPr="000472D2">
        <w:rPr>
          <w:rFonts w:eastAsia="Times New Roman"/>
          <w:color w:val="222222"/>
          <w:sz w:val="21"/>
          <w:szCs w:val="21"/>
          <w:lang w:val="ru-RU"/>
        </w:rPr>
        <w:t>актив может быть идентифицирован или отделен от других активов.</w:t>
      </w:r>
    </w:p>
    <w:p w14:paraId="47130711" w14:textId="77777777" w:rsidR="000472D2" w:rsidRDefault="000472D2" w:rsidP="00E02898">
      <w:pPr>
        <w:spacing w:after="150" w:line="240" w:lineRule="auto"/>
        <w:jc w:val="both"/>
        <w:rPr>
          <w:rFonts w:eastAsia="Times New Roman"/>
          <w:b/>
          <w:bCs/>
          <w:color w:val="222222"/>
          <w:sz w:val="21"/>
          <w:szCs w:val="21"/>
          <w:lang w:val="ru-RU"/>
        </w:rPr>
      </w:pPr>
    </w:p>
    <w:p w14:paraId="70002BEB" w14:textId="5F49A22C" w:rsidR="00E02898" w:rsidRPr="00E02898" w:rsidRDefault="00E02898" w:rsidP="00E02898">
      <w:pPr>
        <w:spacing w:after="150" w:line="240" w:lineRule="auto"/>
        <w:jc w:val="both"/>
        <w:rPr>
          <w:rFonts w:eastAsia="Times New Roman"/>
          <w:color w:val="222222"/>
          <w:sz w:val="21"/>
          <w:szCs w:val="21"/>
          <w:lang w:val="ru-RU"/>
        </w:rPr>
      </w:pPr>
      <w:hyperlink r:id="rId7" w:history="1">
        <w:r w:rsidRPr="00E02898">
          <w:rPr>
            <w:rStyle w:val="a3"/>
            <w:rFonts w:eastAsia="Times New Roman"/>
            <w:sz w:val="21"/>
            <w:szCs w:val="21"/>
            <w:lang w:val="ru-RU"/>
          </w:rPr>
          <w:t>https://sroaas.ru/auditor/recommendations/</w:t>
        </w:r>
      </w:hyperlink>
    </w:p>
    <w:p w14:paraId="1E5652D6" w14:textId="15593E79" w:rsidR="00E02898" w:rsidRPr="00E02898" w:rsidRDefault="00E02898" w:rsidP="00E02898">
      <w:pPr>
        <w:spacing w:after="150" w:line="240" w:lineRule="auto"/>
        <w:jc w:val="both"/>
        <w:rPr>
          <w:rFonts w:eastAsia="Times New Roman"/>
          <w:b/>
          <w:bCs/>
          <w:color w:val="222222"/>
          <w:sz w:val="21"/>
          <w:szCs w:val="21"/>
          <w:lang w:val="ru-RU"/>
        </w:rPr>
      </w:pPr>
      <w:r w:rsidRPr="00E02898">
        <w:rPr>
          <w:rFonts w:eastAsia="Times New Roman"/>
          <w:b/>
          <w:bCs/>
          <w:color w:val="222222"/>
          <w:sz w:val="21"/>
          <w:szCs w:val="21"/>
          <w:lang w:val="ru-RU"/>
        </w:rPr>
        <w:t>Методически</w:t>
      </w:r>
      <w:r>
        <w:rPr>
          <w:rFonts w:eastAsia="Times New Roman"/>
          <w:b/>
          <w:bCs/>
          <w:color w:val="222222"/>
          <w:sz w:val="21"/>
          <w:szCs w:val="21"/>
          <w:lang w:val="ru-RU"/>
        </w:rPr>
        <w:t>е</w:t>
      </w:r>
      <w:r w:rsidRPr="00E02898">
        <w:rPr>
          <w:rFonts w:eastAsia="Times New Roman"/>
          <w:b/>
          <w:bCs/>
          <w:color w:val="222222"/>
          <w:sz w:val="21"/>
          <w:szCs w:val="21"/>
          <w:lang w:val="ru-RU"/>
        </w:rPr>
        <w:t xml:space="preserve"> материал</w:t>
      </w:r>
      <w:r>
        <w:rPr>
          <w:rFonts w:eastAsia="Times New Roman"/>
          <w:b/>
          <w:bCs/>
          <w:color w:val="222222"/>
          <w:sz w:val="21"/>
          <w:szCs w:val="21"/>
          <w:lang w:val="ru-RU"/>
        </w:rPr>
        <w:t>ы</w:t>
      </w:r>
      <w:r w:rsidRPr="00E02898">
        <w:rPr>
          <w:rFonts w:eastAsia="Times New Roman"/>
          <w:b/>
          <w:bCs/>
          <w:color w:val="222222"/>
          <w:sz w:val="21"/>
          <w:szCs w:val="21"/>
          <w:lang w:val="ru-RU"/>
        </w:rPr>
        <w:t xml:space="preserve"> на тему: Вопросы и ответы по ФСБУ 14/2022 «Нематериальные активы», утвержденны</w:t>
      </w:r>
      <w:r>
        <w:rPr>
          <w:rFonts w:eastAsia="Times New Roman"/>
          <w:b/>
          <w:bCs/>
          <w:color w:val="222222"/>
          <w:sz w:val="21"/>
          <w:szCs w:val="21"/>
          <w:lang w:val="ru-RU"/>
        </w:rPr>
        <w:t>е</w:t>
      </w:r>
      <w:r w:rsidRPr="00E02898">
        <w:rPr>
          <w:rFonts w:eastAsia="Times New Roman"/>
          <w:b/>
          <w:bCs/>
          <w:color w:val="222222"/>
          <w:sz w:val="21"/>
          <w:szCs w:val="21"/>
          <w:lang w:val="ru-RU"/>
        </w:rPr>
        <w:t xml:space="preserve"> Решением Правления СРО ААС (саморегулируемая организация аудиторов ассоциация «Содружество») от 22.12.2023 (протокол № 657)</w:t>
      </w:r>
    </w:p>
    <w:p w14:paraId="0EED6CAC" w14:textId="77777777" w:rsidR="00DD3940" w:rsidRPr="00DD3940" w:rsidRDefault="00DD3940" w:rsidP="002478CB">
      <w:pPr>
        <w:spacing w:after="150" w:line="240" w:lineRule="auto"/>
        <w:jc w:val="both"/>
        <w:rPr>
          <w:rFonts w:eastAsia="Times New Roman"/>
          <w:b/>
          <w:bCs/>
          <w:color w:val="222222"/>
          <w:sz w:val="21"/>
          <w:szCs w:val="21"/>
          <w:lang w:val="ru-RU"/>
        </w:rPr>
      </w:pPr>
      <w:r w:rsidRPr="00DD3940">
        <w:rPr>
          <w:rFonts w:eastAsia="Times New Roman"/>
          <w:b/>
          <w:bCs/>
          <w:color w:val="222222"/>
          <w:sz w:val="21"/>
          <w:szCs w:val="21"/>
          <w:lang w:val="ru-RU"/>
        </w:rPr>
        <w:t>A.2. Организация приобрела права пользования на программное обеспечение, полученное на основании лицензионного договора, срок пользования больше 12 месяцев, стоимость больше лимита, установленного организацией в учетной политике. Являются ли права на программное обеспечение нематериальным активом?</w:t>
      </w:r>
    </w:p>
    <w:p w14:paraId="18A8F0DD" w14:textId="77777777" w:rsidR="00D40989" w:rsidRDefault="002478CB" w:rsidP="002478CB">
      <w:pPr>
        <w:spacing w:after="150" w:line="240" w:lineRule="auto"/>
        <w:jc w:val="both"/>
        <w:rPr>
          <w:rFonts w:eastAsia="Times New Roman"/>
          <w:color w:val="222222"/>
          <w:sz w:val="21"/>
          <w:szCs w:val="21"/>
          <w:lang w:val="ru-RU"/>
        </w:rPr>
      </w:pPr>
      <w:r w:rsidRPr="002478CB">
        <w:rPr>
          <w:rFonts w:eastAsia="Times New Roman"/>
          <w:color w:val="222222"/>
          <w:sz w:val="21"/>
          <w:szCs w:val="21"/>
          <w:lang w:val="ru-RU"/>
        </w:rPr>
        <w:t>Обычно права использования программного обеспечения удовлетворяют части признаков, указанных в пункте 4 ФСБУ 14/2022, в частности, они не имеют материально-вещественной формы, предназначены для использования организацией в ходе обычной деятельности в течение более 12 месяцев (или обычного операционного цикла), способны приносить организации экономические выгоды и могут быть отделены от других активов. </w:t>
      </w:r>
    </w:p>
    <w:p w14:paraId="3B90EF80" w14:textId="0E34BFA6" w:rsidR="002478CB" w:rsidRDefault="002478CB" w:rsidP="002478CB">
      <w:pPr>
        <w:spacing w:after="150" w:line="240" w:lineRule="auto"/>
        <w:jc w:val="both"/>
        <w:rPr>
          <w:rFonts w:eastAsia="Times New Roman"/>
          <w:color w:val="222222"/>
          <w:sz w:val="21"/>
          <w:szCs w:val="21"/>
          <w:lang w:val="ru-RU"/>
        </w:rPr>
      </w:pPr>
      <w:r w:rsidRPr="002478CB">
        <w:rPr>
          <w:rFonts w:eastAsia="Times New Roman"/>
          <w:color w:val="222222"/>
          <w:sz w:val="21"/>
          <w:szCs w:val="21"/>
          <w:lang w:val="ru-RU"/>
        </w:rPr>
        <w:t xml:space="preserve">Наибольшие трудности вызывает анализ соответствия такого актива признакам подпункта «г» пункта 4 ФСБУ 14/2022 в части оценки способности (возможности) организации ограничить доступ иных лиц к программному обеспечению. В некоторых случаях такой анализ потребует привлечения технических специалистов для определения сути тех или иных лицензионных соглашений и прав, которые получает организация, а также всех имеющихся ограничений, включая </w:t>
      </w:r>
      <w:r w:rsidRPr="002478CB">
        <w:rPr>
          <w:rFonts w:eastAsia="Times New Roman"/>
          <w:b/>
          <w:bCs/>
          <w:color w:val="222222"/>
          <w:sz w:val="21"/>
          <w:szCs w:val="21"/>
          <w:lang w:val="ru-RU"/>
        </w:rPr>
        <w:t>условия передачи организации-пользователю прав на уникальный код, содержащийся в программном обеспечении</w:t>
      </w:r>
      <w:r w:rsidRPr="002478CB">
        <w:rPr>
          <w:rFonts w:eastAsia="Times New Roman"/>
          <w:color w:val="222222"/>
          <w:sz w:val="21"/>
          <w:szCs w:val="21"/>
          <w:lang w:val="ru-RU"/>
        </w:rPr>
        <w:t>.</w:t>
      </w:r>
    </w:p>
    <w:p w14:paraId="4240E4EE" w14:textId="77777777" w:rsidR="002478CB" w:rsidRPr="002478CB" w:rsidRDefault="002478CB" w:rsidP="002478CB">
      <w:pPr>
        <w:spacing w:after="150" w:line="240" w:lineRule="auto"/>
        <w:jc w:val="both"/>
        <w:rPr>
          <w:rFonts w:eastAsia="Times New Roman"/>
          <w:b/>
          <w:bCs/>
          <w:color w:val="222222"/>
          <w:sz w:val="21"/>
          <w:szCs w:val="21"/>
          <w:lang w:val="ru-RU"/>
        </w:rPr>
      </w:pPr>
      <w:r w:rsidRPr="002478CB">
        <w:rPr>
          <w:rFonts w:eastAsia="Times New Roman"/>
          <w:b/>
          <w:bCs/>
          <w:color w:val="222222"/>
          <w:sz w:val="21"/>
          <w:szCs w:val="21"/>
          <w:lang w:val="ru-RU"/>
        </w:rPr>
        <w:lastRenderedPageBreak/>
        <w:t>Если организация не может подтвердить наличие юридически закрепленных прав на результат интеллектуальной деятельности, включая возможность ограничить доступ к его использованию со стороны третьих лиц, то это означает, что невозможно продемонстрировать контроль над способностью результата интеллектуальной деятельности приносить экономические выгоды (доходы) непосредственно этой организации. В этом случае результат интеллектуальной деятельности не может быть классифицирован в качестве НМА, и затраты на приобретение соответствующего результата интеллектуальной деятельности необходимо признавать в составе других активов (например, в составе дебиторской задолженности) или расходов отчетного периода.</w:t>
      </w:r>
    </w:p>
    <w:p w14:paraId="38CDF130" w14:textId="59351A00" w:rsidR="002478CB" w:rsidRPr="002478CB" w:rsidRDefault="002478CB" w:rsidP="002478CB">
      <w:pPr>
        <w:spacing w:line="240" w:lineRule="auto"/>
        <w:jc w:val="both"/>
        <w:rPr>
          <w:rFonts w:eastAsia="Times New Roman"/>
          <w:color w:val="222222"/>
          <w:sz w:val="21"/>
          <w:szCs w:val="21"/>
          <w:lang w:val="ru-RU"/>
        </w:rPr>
      </w:pPr>
    </w:p>
    <w:p w14:paraId="031F61A4" w14:textId="77777777" w:rsidR="000472D2" w:rsidRPr="000472D2" w:rsidRDefault="000472D2" w:rsidP="000472D2">
      <w:pPr>
        <w:spacing w:after="160" w:line="259" w:lineRule="auto"/>
        <w:jc w:val="both"/>
        <w:rPr>
          <w:rFonts w:eastAsia="Times New Roman"/>
          <w:b/>
          <w:bCs/>
          <w:color w:val="000000"/>
          <w:sz w:val="21"/>
          <w:szCs w:val="21"/>
          <w:shd w:val="clear" w:color="auto" w:fill="FFFFFF"/>
          <w:lang w:val="ru-RU"/>
        </w:rPr>
      </w:pPr>
      <w:r w:rsidRPr="000472D2">
        <w:rPr>
          <w:rFonts w:eastAsia="Times New Roman"/>
          <w:b/>
          <w:bCs/>
          <w:color w:val="000000"/>
          <w:sz w:val="21"/>
          <w:szCs w:val="21"/>
          <w:shd w:val="clear" w:color="auto" w:fill="FFFFFF"/>
          <w:lang w:val="ru-RU"/>
        </w:rPr>
        <w:t>РЕКОМЕНДАЦИЯ Р-164/2024-КпР</w:t>
      </w:r>
    </w:p>
    <w:p w14:paraId="5EDBA26B" w14:textId="47ABACA2" w:rsidR="000472D2" w:rsidRPr="000472D2" w:rsidRDefault="000472D2" w:rsidP="000472D2">
      <w:pPr>
        <w:spacing w:after="160" w:line="259" w:lineRule="auto"/>
        <w:jc w:val="both"/>
        <w:rPr>
          <w:rFonts w:eastAsia="Times New Roman"/>
          <w:b/>
          <w:bCs/>
          <w:color w:val="000000"/>
          <w:sz w:val="21"/>
          <w:szCs w:val="21"/>
          <w:shd w:val="clear" w:color="auto" w:fill="FFFFFF"/>
          <w:lang w:val="ru-RU"/>
        </w:rPr>
      </w:pPr>
      <w:r w:rsidRPr="000472D2">
        <w:rPr>
          <w:rFonts w:eastAsia="Times New Roman"/>
          <w:b/>
          <w:bCs/>
          <w:color w:val="000000"/>
          <w:sz w:val="21"/>
          <w:szCs w:val="21"/>
          <w:shd w:val="clear" w:color="auto" w:fill="FFFFFF"/>
          <w:lang w:val="ru-RU"/>
        </w:rPr>
        <w:t>«НЕИСКЛЮЧИТЕЛЬНЫЕ ПРАВА ПОЛЬЗОВАНИЯ РЕЗУЛЬТАТАМИ ИНТЕЛЛЕКТУАЛЬНОЙ ДЕЯТЕЛЬНОСТИ»</w:t>
      </w:r>
    </w:p>
    <w:p w14:paraId="6CD5A2B2" w14:textId="11DE2548" w:rsidR="000472D2" w:rsidRPr="000472D2" w:rsidRDefault="000472D2" w:rsidP="000472D2">
      <w:pPr>
        <w:spacing w:after="160" w:line="259" w:lineRule="auto"/>
        <w:jc w:val="both"/>
        <w:rPr>
          <w:rFonts w:eastAsia="Times New Roman"/>
          <w:color w:val="000000"/>
          <w:sz w:val="21"/>
          <w:szCs w:val="21"/>
          <w:shd w:val="clear" w:color="auto" w:fill="FFFFFF"/>
          <w:lang w:val="ru-RU"/>
        </w:rPr>
      </w:pPr>
      <w:hyperlink r:id="rId8" w:history="1">
        <w:r w:rsidRPr="000472D2">
          <w:rPr>
            <w:rStyle w:val="a3"/>
            <w:rFonts w:eastAsia="Times New Roman"/>
            <w:sz w:val="21"/>
            <w:szCs w:val="21"/>
            <w:shd w:val="clear" w:color="auto" w:fill="FFFFFF"/>
            <w:lang w:val="ru-RU"/>
          </w:rPr>
          <w:t>http://bmcenter.ru/Files/R-KpR_Neiskluchitelniye_prava_polzovaniya_RID</w:t>
        </w:r>
      </w:hyperlink>
    </w:p>
    <w:p w14:paraId="5D60AD24"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РЕШЕНИЕ</w:t>
      </w:r>
    </w:p>
    <w:p w14:paraId="60DF2DF2"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1. </w:t>
      </w:r>
      <w:r w:rsidRPr="000472D2">
        <w:rPr>
          <w:rFonts w:ascii="Arial" w:hAnsi="Arial" w:cs="Arial"/>
          <w:sz w:val="21"/>
          <w:szCs w:val="21"/>
          <w:bdr w:val="none" w:sz="0" w:space="0" w:color="auto" w:frame="1"/>
        </w:rPr>
        <w:t>В настоящей Рекомендации понятия «лицензиат» и «лицензиар» используются в широком смысле – как для обозначения соответствующих сторон лицензионного договора, так и для обозначения аналогичных сторон иного договора, по которому организация получает от другой стороны право использования результатов интеллектуальной деятельности в предусмотренных договором пределах.</w:t>
      </w:r>
    </w:p>
    <w:p w14:paraId="6CF27E05"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2. </w:t>
      </w:r>
      <w:r w:rsidRPr="000472D2">
        <w:rPr>
          <w:rFonts w:ascii="Arial" w:hAnsi="Arial" w:cs="Arial"/>
          <w:b/>
          <w:bCs/>
          <w:sz w:val="21"/>
          <w:szCs w:val="21"/>
          <w:bdr w:val="none" w:sz="0" w:space="0" w:color="auto" w:frame="1"/>
        </w:rPr>
        <w:t>Лицензиат</w:t>
      </w:r>
      <w:r w:rsidRPr="000472D2">
        <w:rPr>
          <w:rFonts w:ascii="Arial" w:hAnsi="Arial" w:cs="Arial"/>
          <w:sz w:val="21"/>
          <w:szCs w:val="21"/>
          <w:bdr w:val="none" w:sz="0" w:space="0" w:color="auto" w:frame="1"/>
        </w:rPr>
        <w:t xml:space="preserve"> признает нематериальный актив, если условиями договора он наделяется </w:t>
      </w:r>
      <w:r w:rsidRPr="000472D2">
        <w:rPr>
          <w:rFonts w:ascii="Arial" w:hAnsi="Arial" w:cs="Arial"/>
          <w:b/>
          <w:bCs/>
          <w:sz w:val="21"/>
          <w:szCs w:val="21"/>
          <w:bdr w:val="none" w:sz="0" w:space="0" w:color="auto" w:frame="1"/>
        </w:rPr>
        <w:t>безусловными правами</w:t>
      </w:r>
      <w:r w:rsidRPr="000472D2">
        <w:rPr>
          <w:rFonts w:ascii="Arial" w:hAnsi="Arial" w:cs="Arial"/>
          <w:sz w:val="21"/>
          <w:szCs w:val="21"/>
          <w:bdr w:val="none" w:sz="0" w:space="0" w:color="auto" w:frame="1"/>
        </w:rPr>
        <w:t xml:space="preserve"> использования результатов интеллектуальной деятельности, которые способны приносить экономические выгоды в ходе обычной деятельности в течение периода, превышающего 12 месяцев или обычный операционный цикл. В целях настоящего пункта права лицензиата считаются безусловными, если возможности лицензиата пользоваться ими не зависят от исполнения сторонами договора каких-либо обязанностей, совершения ими каких-либо действий или соблюдения ими каких-либо условий в будущем.</w:t>
      </w:r>
    </w:p>
    <w:p w14:paraId="2DD96F3E"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3. </w:t>
      </w:r>
      <w:r w:rsidRPr="000472D2">
        <w:rPr>
          <w:rFonts w:ascii="Arial" w:hAnsi="Arial" w:cs="Arial"/>
          <w:sz w:val="21"/>
          <w:szCs w:val="21"/>
          <w:bdr w:val="none" w:sz="0" w:space="0" w:color="auto" w:frame="1"/>
        </w:rPr>
        <w:t>В случае если возможности лицензиата пользоваться его правами по договору зависят от исполнения обязанностей, совершения действий, соблюдения условий со стороны лицензиара, такие договоры учитываются как получение услуг, в частности, лицензиат признает свои права на получение от лицензиара услуг в оплаченной части в качестве неденежного права требования (авансовой дебиторской задолженности). О наличии указанной зависимости могут свидетельствовать, в том числе следующие признаки:</w:t>
      </w:r>
    </w:p>
    <w:p w14:paraId="098D66E2"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а) </w:t>
      </w:r>
      <w:r w:rsidRPr="000472D2">
        <w:rPr>
          <w:rFonts w:ascii="Arial" w:hAnsi="Arial" w:cs="Arial"/>
          <w:sz w:val="21"/>
          <w:szCs w:val="21"/>
          <w:bdr w:val="none" w:sz="0" w:space="0" w:color="auto" w:frame="1"/>
        </w:rPr>
        <w:t>возможность доступа к результатам интеллектуальной деятельности лицензиатом исключительно через облачный сервис лицензиара;</w:t>
      </w:r>
    </w:p>
    <w:p w14:paraId="10B098E9"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б) </w:t>
      </w:r>
      <w:r w:rsidRPr="000472D2">
        <w:rPr>
          <w:rFonts w:ascii="Arial" w:hAnsi="Arial" w:cs="Arial"/>
          <w:sz w:val="21"/>
          <w:szCs w:val="21"/>
          <w:bdr w:val="none" w:sz="0" w:space="0" w:color="auto" w:frame="1"/>
        </w:rPr>
        <w:t>обязательное (по условиям договора) нахождение материального носителя используемых результатов интеллектуальной деятельности у лицензиара;</w:t>
      </w:r>
    </w:p>
    <w:p w14:paraId="61E6EDF2"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в) </w:t>
      </w:r>
      <w:r w:rsidRPr="000472D2">
        <w:rPr>
          <w:rFonts w:ascii="Arial" w:hAnsi="Arial" w:cs="Arial"/>
          <w:sz w:val="21"/>
          <w:szCs w:val="21"/>
          <w:bdr w:val="none" w:sz="0" w:space="0" w:color="auto" w:frame="1"/>
        </w:rPr>
        <w:t>контроль лицензиаром кодов (шифров, паролей) доступа лицензиата к используемым результатам интеллектуальной деятельности, возможность лицензиара заблокировать доступ лицензиата к результатам интеллектуальной деятельности;</w:t>
      </w:r>
    </w:p>
    <w:p w14:paraId="73434BCE"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г) </w:t>
      </w:r>
      <w:r w:rsidRPr="000472D2">
        <w:rPr>
          <w:rFonts w:ascii="Arial" w:hAnsi="Arial" w:cs="Arial"/>
          <w:sz w:val="21"/>
          <w:szCs w:val="21"/>
          <w:bdr w:val="none" w:sz="0" w:space="0" w:color="auto" w:frame="1"/>
        </w:rPr>
        <w:t>нахождение у лицензиара (контроль лицензиаром) материальных или нематериальных объектов, без которых невозможно пользоваться результатами интеллектуальной деятельности;</w:t>
      </w:r>
    </w:p>
    <w:p w14:paraId="77C01771"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д) </w:t>
      </w:r>
      <w:r w:rsidRPr="000472D2">
        <w:rPr>
          <w:rFonts w:ascii="Arial" w:hAnsi="Arial" w:cs="Arial"/>
          <w:sz w:val="21"/>
          <w:szCs w:val="21"/>
          <w:bdr w:val="none" w:sz="0" w:space="0" w:color="auto" w:frame="1"/>
        </w:rPr>
        <w:t>невозможность пользоваться результатами интеллектуальной деятельности без технической поддержки, которая по условиям договора может предоставляться исключительно лицензиаром.</w:t>
      </w:r>
    </w:p>
    <w:p w14:paraId="1F5042C3"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4. </w:t>
      </w:r>
      <w:r w:rsidRPr="000472D2">
        <w:rPr>
          <w:rFonts w:ascii="Arial" w:hAnsi="Arial" w:cs="Arial"/>
          <w:sz w:val="21"/>
          <w:szCs w:val="21"/>
          <w:bdr w:val="none" w:sz="0" w:space="0" w:color="auto" w:frame="1"/>
        </w:rPr>
        <w:t>В случае если возможности лицензиата пользоваться результатами интеллектуальной деятельности зависят от исполнения им своих обязанностей, совершения действий, соблюдения условий (например, от оплаты), лицензиат не признает какие-либо активы до тех пор, пока такие обязанности, действия, условия не будут им исполнены, совершены, соблюдены (например, пока не произведет соответствующую оплату).</w:t>
      </w:r>
    </w:p>
    <w:p w14:paraId="651DFE4A"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5. </w:t>
      </w:r>
      <w:r w:rsidRPr="000472D2">
        <w:rPr>
          <w:rFonts w:ascii="Arial" w:hAnsi="Arial" w:cs="Arial"/>
          <w:sz w:val="21"/>
          <w:szCs w:val="21"/>
          <w:bdr w:val="none" w:sz="0" w:space="0" w:color="auto" w:frame="1"/>
        </w:rPr>
        <w:t xml:space="preserve">Для целей установления срока полезного использования актива срок прав лицензиата считается в целях бухгалтерского учета равным сроку действия договора, если по его условиям непродление договора на следующий срок лишает лицензиата возможности пользоваться далее результатами интеллектуальной деятельности. При этом предусмотренные договором </w:t>
      </w:r>
      <w:r w:rsidRPr="000472D2">
        <w:rPr>
          <w:rFonts w:ascii="Arial" w:hAnsi="Arial" w:cs="Arial"/>
          <w:sz w:val="21"/>
          <w:szCs w:val="21"/>
          <w:bdr w:val="none" w:sz="0" w:space="0" w:color="auto" w:frame="1"/>
        </w:rPr>
        <w:lastRenderedPageBreak/>
        <w:t>опции на его пролонгацию учитываются лицензиатом только в том случае, если он вправе осуществить пролонгацию в одностороннем порядке без значительных затрат.</w:t>
      </w:r>
    </w:p>
    <w:p w14:paraId="4AB159B7"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6. </w:t>
      </w:r>
      <w:r w:rsidRPr="000472D2">
        <w:rPr>
          <w:rFonts w:ascii="Arial" w:hAnsi="Arial" w:cs="Arial"/>
          <w:sz w:val="21"/>
          <w:szCs w:val="21"/>
          <w:bdr w:val="none" w:sz="0" w:space="0" w:color="auto" w:frame="1"/>
        </w:rPr>
        <w:t>Для целей установления срока полезного использования актива срок прав лицензиата считается в целях бухгалтерского учета не ограниченным сроком действия договора, если по его условиям непродление договора на следующий срок не лишит лицензиата возможности пользоваться далее результатами интеллектуальной деятельности. Лишение лицензиата прав на обновление программного обеспечения или иных аналогичных результатов интеллектуальной деятельности при сохранении его прав на предыдущую (необновленную) версию не свидетельствует об ограничении срока прав лицензиата сроком договора. Вместе с тем, отсутствие прав на новую версию может указывать на моральное устаревание существующего нематериального актива, которое приводит к необходимости пересмотра оставшегося срока полезного использования актива и (или) проверки его на обесценение.</w:t>
      </w:r>
    </w:p>
    <w:p w14:paraId="10CB8C7D" w14:textId="77777777" w:rsidR="000472D2" w:rsidRPr="000472D2" w:rsidRDefault="000472D2" w:rsidP="000472D2">
      <w:pPr>
        <w:pStyle w:val="a6"/>
        <w:shd w:val="clear" w:color="auto" w:fill="FFFFFF"/>
        <w:spacing w:before="0" w:beforeAutospacing="0" w:after="0" w:afterAutospacing="0"/>
        <w:jc w:val="both"/>
        <w:textAlignment w:val="baseline"/>
        <w:rPr>
          <w:rFonts w:ascii="Arial" w:hAnsi="Arial" w:cs="Arial"/>
          <w:sz w:val="21"/>
          <w:szCs w:val="21"/>
        </w:rPr>
      </w:pPr>
      <w:r w:rsidRPr="000472D2">
        <w:rPr>
          <w:rStyle w:val="a8"/>
          <w:rFonts w:ascii="Arial" w:hAnsi="Arial" w:cs="Arial"/>
          <w:sz w:val="21"/>
          <w:szCs w:val="21"/>
          <w:bdr w:val="none" w:sz="0" w:space="0" w:color="auto" w:frame="1"/>
        </w:rPr>
        <w:t>7. </w:t>
      </w:r>
      <w:r w:rsidRPr="000472D2">
        <w:rPr>
          <w:rFonts w:ascii="Arial" w:hAnsi="Arial" w:cs="Arial"/>
          <w:sz w:val="21"/>
          <w:szCs w:val="21"/>
          <w:bdr w:val="none" w:sz="0" w:space="0" w:color="auto" w:frame="1"/>
        </w:rPr>
        <w:t>Организация не может установить срок полезного использования нематериального актива в целях его амортизации большим, чем срок действия соответствующих прав лицензиата, определенный в соответствии с пунктами 5, 6 настоящей Рекомендации. Однако срок полезного использования нематериального актива может быть меньшим, чем срок действия соответствующих прав лицензиата, в силу других факторов, ограничивающих период получения организацией экономических выгод от актива. Исходя из этих факторов срок полезного использования нематериального актива определяется также в случае, когда срок действия соответствующих прав лицензиата не может быть определен из условий договора.</w:t>
      </w:r>
    </w:p>
    <w:p w14:paraId="62345555" w14:textId="77777777" w:rsidR="000472D2" w:rsidRPr="000472D2" w:rsidRDefault="000472D2" w:rsidP="000472D2">
      <w:pPr>
        <w:spacing w:after="160" w:line="259" w:lineRule="auto"/>
        <w:jc w:val="both"/>
        <w:rPr>
          <w:rFonts w:eastAsia="Times New Roman"/>
          <w:color w:val="000000"/>
          <w:sz w:val="21"/>
          <w:szCs w:val="21"/>
          <w:shd w:val="clear" w:color="auto" w:fill="FFFFFF"/>
          <w:lang w:val="ru-RU"/>
        </w:rPr>
      </w:pPr>
    </w:p>
    <w:p w14:paraId="33CE74CD" w14:textId="0DA5E318" w:rsidR="009E4C9C" w:rsidRPr="000472D2" w:rsidRDefault="009E4C9C" w:rsidP="000472D2">
      <w:pPr>
        <w:spacing w:after="160" w:line="259" w:lineRule="auto"/>
        <w:jc w:val="both"/>
        <w:rPr>
          <w:rFonts w:eastAsia="Times New Roman"/>
          <w:color w:val="000000"/>
          <w:sz w:val="21"/>
          <w:szCs w:val="21"/>
          <w:shd w:val="clear" w:color="auto" w:fill="FFFFFF"/>
          <w:lang w:val="ru-RU"/>
        </w:rPr>
      </w:pPr>
    </w:p>
    <w:sectPr w:rsidR="009E4C9C" w:rsidRPr="00047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91197"/>
    <w:multiLevelType w:val="multilevel"/>
    <w:tmpl w:val="EFFA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0B41B6"/>
    <w:multiLevelType w:val="hybridMultilevel"/>
    <w:tmpl w:val="FFA4F836"/>
    <w:lvl w:ilvl="0" w:tplc="62943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9C32D3F"/>
    <w:multiLevelType w:val="hybridMultilevel"/>
    <w:tmpl w:val="E3F23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4A4EF3"/>
    <w:multiLevelType w:val="multilevel"/>
    <w:tmpl w:val="F0A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686841">
    <w:abstractNumId w:val="2"/>
  </w:num>
  <w:num w:numId="2" w16cid:durableId="1341858979">
    <w:abstractNumId w:val="1"/>
  </w:num>
  <w:num w:numId="3" w16cid:durableId="1662661495">
    <w:abstractNumId w:val="0"/>
  </w:num>
  <w:num w:numId="4" w16cid:durableId="1890452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3B"/>
    <w:rsid w:val="000032E7"/>
    <w:rsid w:val="00014950"/>
    <w:rsid w:val="0003464E"/>
    <w:rsid w:val="000472D2"/>
    <w:rsid w:val="000732EE"/>
    <w:rsid w:val="00081D43"/>
    <w:rsid w:val="000B6EA1"/>
    <w:rsid w:val="000C5FC2"/>
    <w:rsid w:val="000E319F"/>
    <w:rsid w:val="000E73A9"/>
    <w:rsid w:val="000F0EDE"/>
    <w:rsid w:val="000F3AF3"/>
    <w:rsid w:val="0013038F"/>
    <w:rsid w:val="00144780"/>
    <w:rsid w:val="0015643B"/>
    <w:rsid w:val="00160B4D"/>
    <w:rsid w:val="0016216E"/>
    <w:rsid w:val="00172368"/>
    <w:rsid w:val="00184D9E"/>
    <w:rsid w:val="00191669"/>
    <w:rsid w:val="001A106B"/>
    <w:rsid w:val="001B5F39"/>
    <w:rsid w:val="001E128D"/>
    <w:rsid w:val="001E7E15"/>
    <w:rsid w:val="001F3364"/>
    <w:rsid w:val="001F3CF6"/>
    <w:rsid w:val="001F6557"/>
    <w:rsid w:val="001F7BB3"/>
    <w:rsid w:val="00234EB1"/>
    <w:rsid w:val="00241814"/>
    <w:rsid w:val="002478CB"/>
    <w:rsid w:val="00260D23"/>
    <w:rsid w:val="00261AFB"/>
    <w:rsid w:val="00267D8E"/>
    <w:rsid w:val="00276C28"/>
    <w:rsid w:val="00293346"/>
    <w:rsid w:val="002B012D"/>
    <w:rsid w:val="002C3CF9"/>
    <w:rsid w:val="002C6D9C"/>
    <w:rsid w:val="002D7B4F"/>
    <w:rsid w:val="002D7ED5"/>
    <w:rsid w:val="00303003"/>
    <w:rsid w:val="00333B04"/>
    <w:rsid w:val="00341349"/>
    <w:rsid w:val="00357040"/>
    <w:rsid w:val="00360041"/>
    <w:rsid w:val="003623B0"/>
    <w:rsid w:val="003719A7"/>
    <w:rsid w:val="003972B9"/>
    <w:rsid w:val="003B5F4B"/>
    <w:rsid w:val="003B5FC0"/>
    <w:rsid w:val="003C5238"/>
    <w:rsid w:val="003E2587"/>
    <w:rsid w:val="003E3124"/>
    <w:rsid w:val="003F2691"/>
    <w:rsid w:val="00406211"/>
    <w:rsid w:val="00406F48"/>
    <w:rsid w:val="00414763"/>
    <w:rsid w:val="00414AF3"/>
    <w:rsid w:val="00433875"/>
    <w:rsid w:val="00442C6C"/>
    <w:rsid w:val="00445446"/>
    <w:rsid w:val="00467C7C"/>
    <w:rsid w:val="004B3996"/>
    <w:rsid w:val="004B6FA2"/>
    <w:rsid w:val="0050095C"/>
    <w:rsid w:val="00554C34"/>
    <w:rsid w:val="0056035F"/>
    <w:rsid w:val="00562023"/>
    <w:rsid w:val="00562B1C"/>
    <w:rsid w:val="0058599F"/>
    <w:rsid w:val="00586227"/>
    <w:rsid w:val="00586D3C"/>
    <w:rsid w:val="005A105B"/>
    <w:rsid w:val="005B569A"/>
    <w:rsid w:val="005B642C"/>
    <w:rsid w:val="005C3BF3"/>
    <w:rsid w:val="00621F84"/>
    <w:rsid w:val="00622F90"/>
    <w:rsid w:val="00625DEB"/>
    <w:rsid w:val="006375B4"/>
    <w:rsid w:val="00646F6F"/>
    <w:rsid w:val="00650573"/>
    <w:rsid w:val="006900FF"/>
    <w:rsid w:val="00695C65"/>
    <w:rsid w:val="006974D4"/>
    <w:rsid w:val="006C71B8"/>
    <w:rsid w:val="006D47E2"/>
    <w:rsid w:val="006F076C"/>
    <w:rsid w:val="006F5A50"/>
    <w:rsid w:val="00717F3D"/>
    <w:rsid w:val="0072105F"/>
    <w:rsid w:val="00722C43"/>
    <w:rsid w:val="007479C3"/>
    <w:rsid w:val="007556ED"/>
    <w:rsid w:val="00760275"/>
    <w:rsid w:val="0076410B"/>
    <w:rsid w:val="007A4638"/>
    <w:rsid w:val="007B7A3A"/>
    <w:rsid w:val="007E5CAD"/>
    <w:rsid w:val="0080423B"/>
    <w:rsid w:val="00810161"/>
    <w:rsid w:val="00831974"/>
    <w:rsid w:val="00851DF7"/>
    <w:rsid w:val="008C7AC1"/>
    <w:rsid w:val="008D6F8E"/>
    <w:rsid w:val="008E0CCD"/>
    <w:rsid w:val="008E51CD"/>
    <w:rsid w:val="00902BE3"/>
    <w:rsid w:val="00937E2D"/>
    <w:rsid w:val="00960B1E"/>
    <w:rsid w:val="00961A69"/>
    <w:rsid w:val="009811F5"/>
    <w:rsid w:val="00984949"/>
    <w:rsid w:val="00995759"/>
    <w:rsid w:val="009E4C9C"/>
    <w:rsid w:val="009F5774"/>
    <w:rsid w:val="00A2047C"/>
    <w:rsid w:val="00A47758"/>
    <w:rsid w:val="00A754AC"/>
    <w:rsid w:val="00A75F08"/>
    <w:rsid w:val="00A84E95"/>
    <w:rsid w:val="00A876BD"/>
    <w:rsid w:val="00AA63F6"/>
    <w:rsid w:val="00AA68C8"/>
    <w:rsid w:val="00B02CCF"/>
    <w:rsid w:val="00B14A46"/>
    <w:rsid w:val="00B25A5D"/>
    <w:rsid w:val="00B33834"/>
    <w:rsid w:val="00B33AD8"/>
    <w:rsid w:val="00B3689F"/>
    <w:rsid w:val="00B44C3E"/>
    <w:rsid w:val="00B5585A"/>
    <w:rsid w:val="00B605C0"/>
    <w:rsid w:val="00B83BF8"/>
    <w:rsid w:val="00BA215B"/>
    <w:rsid w:val="00BB235F"/>
    <w:rsid w:val="00BC2F8C"/>
    <w:rsid w:val="00BC3D94"/>
    <w:rsid w:val="00BC5E72"/>
    <w:rsid w:val="00BE0D74"/>
    <w:rsid w:val="00BF23E2"/>
    <w:rsid w:val="00BF2A50"/>
    <w:rsid w:val="00C1023A"/>
    <w:rsid w:val="00C13DE0"/>
    <w:rsid w:val="00C16F40"/>
    <w:rsid w:val="00C220F9"/>
    <w:rsid w:val="00C34B4F"/>
    <w:rsid w:val="00C52964"/>
    <w:rsid w:val="00C97669"/>
    <w:rsid w:val="00CC0C90"/>
    <w:rsid w:val="00CD3DAE"/>
    <w:rsid w:val="00CF6B07"/>
    <w:rsid w:val="00D052E3"/>
    <w:rsid w:val="00D2370C"/>
    <w:rsid w:val="00D273FE"/>
    <w:rsid w:val="00D31C80"/>
    <w:rsid w:val="00D351BE"/>
    <w:rsid w:val="00D40989"/>
    <w:rsid w:val="00D5109A"/>
    <w:rsid w:val="00D60757"/>
    <w:rsid w:val="00D67771"/>
    <w:rsid w:val="00D80F94"/>
    <w:rsid w:val="00DA14ED"/>
    <w:rsid w:val="00DB7A73"/>
    <w:rsid w:val="00DC100B"/>
    <w:rsid w:val="00DD3940"/>
    <w:rsid w:val="00DD43FD"/>
    <w:rsid w:val="00DD6874"/>
    <w:rsid w:val="00E0087F"/>
    <w:rsid w:val="00E008AF"/>
    <w:rsid w:val="00E02898"/>
    <w:rsid w:val="00E36982"/>
    <w:rsid w:val="00E41326"/>
    <w:rsid w:val="00E53E37"/>
    <w:rsid w:val="00F06AAF"/>
    <w:rsid w:val="00F1112E"/>
    <w:rsid w:val="00F14AA4"/>
    <w:rsid w:val="00F46D91"/>
    <w:rsid w:val="00F77BDC"/>
    <w:rsid w:val="00F80D76"/>
    <w:rsid w:val="00F91692"/>
    <w:rsid w:val="00F95DC2"/>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8208"/>
  <w15:chartTrackingRefBased/>
  <w15:docId w15:val="{720FCAFA-EA21-4C74-81F2-0E66D80A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EDE"/>
    <w:pPr>
      <w:spacing w:after="0" w:line="276" w:lineRule="auto"/>
    </w:pPr>
    <w:rPr>
      <w:rFonts w:ascii="Arial" w:eastAsia="Arial" w:hAnsi="Arial" w:cs="Arial"/>
      <w:kern w:val="0"/>
      <w:lang w:val="ru" w:eastAsia="ru-RU"/>
      <w14:ligatures w14:val="none"/>
    </w:rPr>
  </w:style>
  <w:style w:type="paragraph" w:styleId="1">
    <w:name w:val="heading 1"/>
    <w:basedOn w:val="a"/>
    <w:next w:val="a"/>
    <w:link w:val="10"/>
    <w:uiPriority w:val="9"/>
    <w:qFormat/>
    <w:rsid w:val="0015643B"/>
    <w:pPr>
      <w:keepNext/>
      <w:keepLines/>
      <w:spacing w:before="400" w:after="120"/>
      <w:outlineLvl w:val="0"/>
    </w:pPr>
    <w:rPr>
      <w:sz w:val="40"/>
      <w:szCs w:val="40"/>
    </w:rPr>
  </w:style>
  <w:style w:type="paragraph" w:styleId="2">
    <w:name w:val="heading 2"/>
    <w:basedOn w:val="a"/>
    <w:next w:val="a"/>
    <w:link w:val="20"/>
    <w:uiPriority w:val="9"/>
    <w:unhideWhenUsed/>
    <w:qFormat/>
    <w:rsid w:val="0015643B"/>
    <w:pPr>
      <w:keepNext/>
      <w:keepLines/>
      <w:spacing w:before="360" w:after="12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43B"/>
    <w:rPr>
      <w:rFonts w:ascii="Arial" w:eastAsia="Arial" w:hAnsi="Arial" w:cs="Arial"/>
      <w:kern w:val="0"/>
      <w:sz w:val="40"/>
      <w:szCs w:val="40"/>
      <w:lang w:val="ru" w:eastAsia="ru-RU"/>
      <w14:ligatures w14:val="none"/>
    </w:rPr>
  </w:style>
  <w:style w:type="character" w:customStyle="1" w:styleId="20">
    <w:name w:val="Заголовок 2 Знак"/>
    <w:basedOn w:val="a0"/>
    <w:link w:val="2"/>
    <w:uiPriority w:val="9"/>
    <w:rsid w:val="0015643B"/>
    <w:rPr>
      <w:rFonts w:ascii="Arial" w:eastAsia="Arial" w:hAnsi="Arial" w:cs="Arial"/>
      <w:kern w:val="0"/>
      <w:sz w:val="32"/>
      <w:szCs w:val="32"/>
      <w:lang w:val="ru" w:eastAsia="ru-RU"/>
      <w14:ligatures w14:val="none"/>
    </w:rPr>
  </w:style>
  <w:style w:type="character" w:styleId="a3">
    <w:name w:val="Hyperlink"/>
    <w:basedOn w:val="a0"/>
    <w:uiPriority w:val="99"/>
    <w:unhideWhenUsed/>
    <w:rsid w:val="00C34B4F"/>
    <w:rPr>
      <w:color w:val="0000FF"/>
      <w:u w:val="single"/>
    </w:rPr>
  </w:style>
  <w:style w:type="character" w:styleId="a4">
    <w:name w:val="FollowedHyperlink"/>
    <w:basedOn w:val="a0"/>
    <w:uiPriority w:val="99"/>
    <w:semiHidden/>
    <w:unhideWhenUsed/>
    <w:rsid w:val="00C34B4F"/>
    <w:rPr>
      <w:color w:val="954F72" w:themeColor="followedHyperlink"/>
      <w:u w:val="single"/>
    </w:rPr>
  </w:style>
  <w:style w:type="character" w:styleId="a5">
    <w:name w:val="Unresolved Mention"/>
    <w:basedOn w:val="a0"/>
    <w:uiPriority w:val="99"/>
    <w:semiHidden/>
    <w:unhideWhenUsed/>
    <w:rsid w:val="00646F6F"/>
    <w:rPr>
      <w:color w:val="605E5C"/>
      <w:shd w:val="clear" w:color="auto" w:fill="E1DFDD"/>
    </w:rPr>
  </w:style>
  <w:style w:type="character" w:customStyle="1" w:styleId="docdata">
    <w:name w:val="docdata"/>
    <w:aliases w:val="docy,v5,1846,bqiaagaaeyqcaaagiaiaaanpbaaabv0eaaaaaaaaaaaaaaaaaaaaaaaaaaaaaaaaaaaaaaaaaaaaaaaaaaaaaaaaaaaaaaaaaaaaaaaaaaaaaaaaaaaaaaaaaaaaaaaaaaaaaaaaaaaaaaaaaaaaaaaaaaaaaaaaaaaaaaaaaaaaaaaaaaaaaaaaaaaaaaaaaaaaaaaaaaaaaaaaaaaaaaaaaaaaaaaaaaaaaaaa"/>
    <w:basedOn w:val="a0"/>
    <w:rsid w:val="00191669"/>
  </w:style>
  <w:style w:type="paragraph" w:styleId="a6">
    <w:name w:val="Normal (Web)"/>
    <w:basedOn w:val="a"/>
    <w:uiPriority w:val="99"/>
    <w:semiHidden/>
    <w:unhideWhenUsed/>
    <w:rsid w:val="0056035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List Paragraph"/>
    <w:basedOn w:val="a"/>
    <w:uiPriority w:val="34"/>
    <w:qFormat/>
    <w:rsid w:val="004B3996"/>
    <w:pPr>
      <w:ind w:left="720"/>
      <w:contextualSpacing/>
    </w:pPr>
  </w:style>
  <w:style w:type="character" w:styleId="a8">
    <w:name w:val="Strong"/>
    <w:basedOn w:val="a0"/>
    <w:uiPriority w:val="22"/>
    <w:qFormat/>
    <w:rsid w:val="00F77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8794">
      <w:bodyDiv w:val="1"/>
      <w:marLeft w:val="0"/>
      <w:marRight w:val="0"/>
      <w:marTop w:val="0"/>
      <w:marBottom w:val="0"/>
      <w:divBdr>
        <w:top w:val="none" w:sz="0" w:space="0" w:color="auto"/>
        <w:left w:val="none" w:sz="0" w:space="0" w:color="auto"/>
        <w:bottom w:val="none" w:sz="0" w:space="0" w:color="auto"/>
        <w:right w:val="none" w:sz="0" w:space="0" w:color="auto"/>
      </w:divBdr>
    </w:div>
    <w:div w:id="257568308">
      <w:bodyDiv w:val="1"/>
      <w:marLeft w:val="0"/>
      <w:marRight w:val="0"/>
      <w:marTop w:val="0"/>
      <w:marBottom w:val="0"/>
      <w:divBdr>
        <w:top w:val="none" w:sz="0" w:space="0" w:color="auto"/>
        <w:left w:val="none" w:sz="0" w:space="0" w:color="auto"/>
        <w:bottom w:val="none" w:sz="0" w:space="0" w:color="auto"/>
        <w:right w:val="none" w:sz="0" w:space="0" w:color="auto"/>
      </w:divBdr>
    </w:div>
    <w:div w:id="440685177">
      <w:bodyDiv w:val="1"/>
      <w:marLeft w:val="0"/>
      <w:marRight w:val="0"/>
      <w:marTop w:val="0"/>
      <w:marBottom w:val="0"/>
      <w:divBdr>
        <w:top w:val="none" w:sz="0" w:space="0" w:color="auto"/>
        <w:left w:val="none" w:sz="0" w:space="0" w:color="auto"/>
        <w:bottom w:val="none" w:sz="0" w:space="0" w:color="auto"/>
        <w:right w:val="none" w:sz="0" w:space="0" w:color="auto"/>
      </w:divBdr>
    </w:div>
    <w:div w:id="443425995">
      <w:bodyDiv w:val="1"/>
      <w:marLeft w:val="0"/>
      <w:marRight w:val="0"/>
      <w:marTop w:val="0"/>
      <w:marBottom w:val="0"/>
      <w:divBdr>
        <w:top w:val="none" w:sz="0" w:space="0" w:color="auto"/>
        <w:left w:val="none" w:sz="0" w:space="0" w:color="auto"/>
        <w:bottom w:val="none" w:sz="0" w:space="0" w:color="auto"/>
        <w:right w:val="none" w:sz="0" w:space="0" w:color="auto"/>
      </w:divBdr>
    </w:div>
    <w:div w:id="504172231">
      <w:bodyDiv w:val="1"/>
      <w:marLeft w:val="0"/>
      <w:marRight w:val="0"/>
      <w:marTop w:val="0"/>
      <w:marBottom w:val="0"/>
      <w:divBdr>
        <w:top w:val="none" w:sz="0" w:space="0" w:color="auto"/>
        <w:left w:val="none" w:sz="0" w:space="0" w:color="auto"/>
        <w:bottom w:val="none" w:sz="0" w:space="0" w:color="auto"/>
        <w:right w:val="none" w:sz="0" w:space="0" w:color="auto"/>
      </w:divBdr>
    </w:div>
    <w:div w:id="538317423">
      <w:bodyDiv w:val="1"/>
      <w:marLeft w:val="0"/>
      <w:marRight w:val="0"/>
      <w:marTop w:val="0"/>
      <w:marBottom w:val="0"/>
      <w:divBdr>
        <w:top w:val="none" w:sz="0" w:space="0" w:color="auto"/>
        <w:left w:val="none" w:sz="0" w:space="0" w:color="auto"/>
        <w:bottom w:val="none" w:sz="0" w:space="0" w:color="auto"/>
        <w:right w:val="none" w:sz="0" w:space="0" w:color="auto"/>
      </w:divBdr>
    </w:div>
    <w:div w:id="580531797">
      <w:bodyDiv w:val="1"/>
      <w:marLeft w:val="0"/>
      <w:marRight w:val="0"/>
      <w:marTop w:val="0"/>
      <w:marBottom w:val="0"/>
      <w:divBdr>
        <w:top w:val="none" w:sz="0" w:space="0" w:color="auto"/>
        <w:left w:val="none" w:sz="0" w:space="0" w:color="auto"/>
        <w:bottom w:val="none" w:sz="0" w:space="0" w:color="auto"/>
        <w:right w:val="none" w:sz="0" w:space="0" w:color="auto"/>
      </w:divBdr>
    </w:div>
    <w:div w:id="607468255">
      <w:bodyDiv w:val="1"/>
      <w:marLeft w:val="0"/>
      <w:marRight w:val="0"/>
      <w:marTop w:val="0"/>
      <w:marBottom w:val="0"/>
      <w:divBdr>
        <w:top w:val="none" w:sz="0" w:space="0" w:color="auto"/>
        <w:left w:val="none" w:sz="0" w:space="0" w:color="auto"/>
        <w:bottom w:val="none" w:sz="0" w:space="0" w:color="auto"/>
        <w:right w:val="none" w:sz="0" w:space="0" w:color="auto"/>
      </w:divBdr>
    </w:div>
    <w:div w:id="741416021">
      <w:bodyDiv w:val="1"/>
      <w:marLeft w:val="0"/>
      <w:marRight w:val="0"/>
      <w:marTop w:val="0"/>
      <w:marBottom w:val="0"/>
      <w:divBdr>
        <w:top w:val="none" w:sz="0" w:space="0" w:color="auto"/>
        <w:left w:val="none" w:sz="0" w:space="0" w:color="auto"/>
        <w:bottom w:val="none" w:sz="0" w:space="0" w:color="auto"/>
        <w:right w:val="none" w:sz="0" w:space="0" w:color="auto"/>
      </w:divBdr>
    </w:div>
    <w:div w:id="1197036143">
      <w:bodyDiv w:val="1"/>
      <w:marLeft w:val="0"/>
      <w:marRight w:val="0"/>
      <w:marTop w:val="0"/>
      <w:marBottom w:val="0"/>
      <w:divBdr>
        <w:top w:val="none" w:sz="0" w:space="0" w:color="auto"/>
        <w:left w:val="none" w:sz="0" w:space="0" w:color="auto"/>
        <w:bottom w:val="none" w:sz="0" w:space="0" w:color="auto"/>
        <w:right w:val="none" w:sz="0" w:space="0" w:color="auto"/>
      </w:divBdr>
      <w:divsChild>
        <w:div w:id="1987709401">
          <w:marLeft w:val="0"/>
          <w:marRight w:val="0"/>
          <w:marTop w:val="375"/>
          <w:marBottom w:val="225"/>
          <w:divBdr>
            <w:top w:val="none" w:sz="0" w:space="0" w:color="auto"/>
            <w:left w:val="none" w:sz="0" w:space="0" w:color="auto"/>
            <w:bottom w:val="none" w:sz="0" w:space="0" w:color="auto"/>
            <w:right w:val="none" w:sz="0" w:space="0" w:color="auto"/>
          </w:divBdr>
        </w:div>
      </w:divsChild>
    </w:div>
    <w:div w:id="1249652075">
      <w:bodyDiv w:val="1"/>
      <w:marLeft w:val="0"/>
      <w:marRight w:val="0"/>
      <w:marTop w:val="0"/>
      <w:marBottom w:val="0"/>
      <w:divBdr>
        <w:top w:val="none" w:sz="0" w:space="0" w:color="auto"/>
        <w:left w:val="none" w:sz="0" w:space="0" w:color="auto"/>
        <w:bottom w:val="none" w:sz="0" w:space="0" w:color="auto"/>
        <w:right w:val="none" w:sz="0" w:space="0" w:color="auto"/>
      </w:divBdr>
    </w:div>
    <w:div w:id="1293093116">
      <w:bodyDiv w:val="1"/>
      <w:marLeft w:val="0"/>
      <w:marRight w:val="0"/>
      <w:marTop w:val="0"/>
      <w:marBottom w:val="0"/>
      <w:divBdr>
        <w:top w:val="none" w:sz="0" w:space="0" w:color="auto"/>
        <w:left w:val="none" w:sz="0" w:space="0" w:color="auto"/>
        <w:bottom w:val="none" w:sz="0" w:space="0" w:color="auto"/>
        <w:right w:val="none" w:sz="0" w:space="0" w:color="auto"/>
      </w:divBdr>
    </w:div>
    <w:div w:id="1336616864">
      <w:bodyDiv w:val="1"/>
      <w:marLeft w:val="0"/>
      <w:marRight w:val="0"/>
      <w:marTop w:val="0"/>
      <w:marBottom w:val="0"/>
      <w:divBdr>
        <w:top w:val="none" w:sz="0" w:space="0" w:color="auto"/>
        <w:left w:val="none" w:sz="0" w:space="0" w:color="auto"/>
        <w:bottom w:val="none" w:sz="0" w:space="0" w:color="auto"/>
        <w:right w:val="none" w:sz="0" w:space="0" w:color="auto"/>
      </w:divBdr>
      <w:divsChild>
        <w:div w:id="1853372999">
          <w:marLeft w:val="0"/>
          <w:marRight w:val="0"/>
          <w:marTop w:val="375"/>
          <w:marBottom w:val="225"/>
          <w:divBdr>
            <w:top w:val="none" w:sz="0" w:space="0" w:color="auto"/>
            <w:left w:val="none" w:sz="0" w:space="0" w:color="auto"/>
            <w:bottom w:val="none" w:sz="0" w:space="0" w:color="auto"/>
            <w:right w:val="none" w:sz="0" w:space="0" w:color="auto"/>
          </w:divBdr>
        </w:div>
      </w:divsChild>
    </w:div>
    <w:div w:id="1602641170">
      <w:bodyDiv w:val="1"/>
      <w:marLeft w:val="0"/>
      <w:marRight w:val="0"/>
      <w:marTop w:val="0"/>
      <w:marBottom w:val="0"/>
      <w:divBdr>
        <w:top w:val="none" w:sz="0" w:space="0" w:color="auto"/>
        <w:left w:val="none" w:sz="0" w:space="0" w:color="auto"/>
        <w:bottom w:val="none" w:sz="0" w:space="0" w:color="auto"/>
        <w:right w:val="none" w:sz="0" w:space="0" w:color="auto"/>
      </w:divBdr>
    </w:div>
    <w:div w:id="1704014364">
      <w:bodyDiv w:val="1"/>
      <w:marLeft w:val="0"/>
      <w:marRight w:val="0"/>
      <w:marTop w:val="0"/>
      <w:marBottom w:val="0"/>
      <w:divBdr>
        <w:top w:val="none" w:sz="0" w:space="0" w:color="auto"/>
        <w:left w:val="none" w:sz="0" w:space="0" w:color="auto"/>
        <w:bottom w:val="none" w:sz="0" w:space="0" w:color="auto"/>
        <w:right w:val="none" w:sz="0" w:space="0" w:color="auto"/>
      </w:divBdr>
    </w:div>
    <w:div w:id="1709648860">
      <w:bodyDiv w:val="1"/>
      <w:marLeft w:val="0"/>
      <w:marRight w:val="0"/>
      <w:marTop w:val="0"/>
      <w:marBottom w:val="0"/>
      <w:divBdr>
        <w:top w:val="none" w:sz="0" w:space="0" w:color="auto"/>
        <w:left w:val="none" w:sz="0" w:space="0" w:color="auto"/>
        <w:bottom w:val="none" w:sz="0" w:space="0" w:color="auto"/>
        <w:right w:val="none" w:sz="0" w:space="0" w:color="auto"/>
      </w:divBdr>
    </w:div>
    <w:div w:id="1926961417">
      <w:bodyDiv w:val="1"/>
      <w:marLeft w:val="0"/>
      <w:marRight w:val="0"/>
      <w:marTop w:val="0"/>
      <w:marBottom w:val="0"/>
      <w:divBdr>
        <w:top w:val="none" w:sz="0" w:space="0" w:color="auto"/>
        <w:left w:val="none" w:sz="0" w:space="0" w:color="auto"/>
        <w:bottom w:val="none" w:sz="0" w:space="0" w:color="auto"/>
        <w:right w:val="none" w:sz="0" w:space="0" w:color="auto"/>
      </w:divBdr>
    </w:div>
    <w:div w:id="2026057446">
      <w:bodyDiv w:val="1"/>
      <w:marLeft w:val="0"/>
      <w:marRight w:val="0"/>
      <w:marTop w:val="0"/>
      <w:marBottom w:val="0"/>
      <w:divBdr>
        <w:top w:val="none" w:sz="0" w:space="0" w:color="auto"/>
        <w:left w:val="none" w:sz="0" w:space="0" w:color="auto"/>
        <w:bottom w:val="none" w:sz="0" w:space="0" w:color="auto"/>
        <w:right w:val="none" w:sz="0" w:space="0" w:color="auto"/>
      </w:divBdr>
    </w:div>
    <w:div w:id="2120879007">
      <w:bodyDiv w:val="1"/>
      <w:marLeft w:val="0"/>
      <w:marRight w:val="0"/>
      <w:marTop w:val="0"/>
      <w:marBottom w:val="0"/>
      <w:divBdr>
        <w:top w:val="none" w:sz="0" w:space="0" w:color="auto"/>
        <w:left w:val="none" w:sz="0" w:space="0" w:color="auto"/>
        <w:bottom w:val="none" w:sz="0" w:space="0" w:color="auto"/>
        <w:right w:val="none" w:sz="0" w:space="0" w:color="auto"/>
      </w:divBdr>
    </w:div>
    <w:div w:id="21349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mcenter.ru/Files/R-KpR_Neiskluchitelniye_prava_polzovaniya_RID" TargetMode="External"/><Relationship Id="rId3" Type="http://schemas.openxmlformats.org/officeDocument/2006/relationships/settings" Target="settings.xml"/><Relationship Id="rId7" Type="http://schemas.openxmlformats.org/officeDocument/2006/relationships/hyperlink" Target="https://sroaas.ru/auditor/recommend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gl.ru/" TargetMode="External"/><Relationship Id="rId5" Type="http://schemas.openxmlformats.org/officeDocument/2006/relationships/hyperlink" Target="https://docs.ozon.ru/common/pravila-prodayoi-i-rekvizity/usloviya-prodayoi-tovarov-yuridicheskim-litsam-na-ozon-ru/?country=RU&amp;abt_att=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Савкова</dc:creator>
  <cp:keywords/>
  <dc:description/>
  <cp:lastModifiedBy>Людмила Савкова</cp:lastModifiedBy>
  <cp:revision>53</cp:revision>
  <cp:lastPrinted>2023-10-17T05:15:00Z</cp:lastPrinted>
  <dcterms:created xsi:type="dcterms:W3CDTF">2025-01-21T07:05:00Z</dcterms:created>
  <dcterms:modified xsi:type="dcterms:W3CDTF">2025-01-21T08:40:00Z</dcterms:modified>
</cp:coreProperties>
</file>