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Вопросы к вебинару 18 декабря 2024 г. (среда)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1.Маргарита Николаевна К.</w:t>
      </w:r>
      <w:r/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  <w:tab/>
        <w:t xml:space="preserve">Может ли НКО при расчете компенсации за неиспользованный отпуск при увольнении использовать декабрь 2024 г. как полностью отработанный месяц? Увольнение сотрудника 28.12.2024.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77"/>
        <w:gridCol w:w="281"/>
        <w:gridCol w:w="763"/>
        <w:gridCol w:w="587"/>
        <w:gridCol w:w="678"/>
        <w:gridCol w:w="680"/>
        <w:gridCol w:w="626"/>
        <w:gridCol w:w="744"/>
        <w:gridCol w:w="1099"/>
        <w:gridCol w:w="953"/>
        <w:gridCol w:w="2144"/>
        <w:gridCol w:w="377"/>
      </w:tblGrid>
      <w:tr>
        <w:tblPrEx/>
        <w:trPr>
          <w:trHeight w:val="25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196" w:type="dxa"/>
            <w:vAlign w:val="bottom"/>
            <w:textDirection w:val="lrTb"/>
            <w:noWrap/>
          </w:tcPr>
          <w:p>
            <w:pPr>
              <w:jc w:val="right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Оборотная сторона формы N Т-61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260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32" w:type="dxa"/>
            <w:vAlign w:val="bottom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0"/>
              </w:rPr>
              <w:t xml:space="preserve">Расчет оплаты отпуска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25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40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Расчетный период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Выплаты, учитываемые при исчислении среднего заработка, руб.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Количество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Средний дневной (часовой) заработок, руб.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105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год 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месяц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календарных дней расчетного периода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часов расчетного периода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январь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325.14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656.37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февраль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март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апрель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май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Количество дней отпуска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Сумма за отпуск, руб.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июнь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использовано авансом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не использовано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июль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август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1749,27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сентябрь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9189,18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октябрь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ноябрь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декабрь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19242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/>
          </w:tcPr>
          <w:p>
            <w:pPr>
              <w:jc w:val="right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Итого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5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213411,27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25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260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32" w:type="dxa"/>
            <w:vAlign w:val="bottom"/>
            <w:textDirection w:val="lrTb"/>
            <w:noWrap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0"/>
              </w:rPr>
              <w:t xml:space="preserve">Расчет выплат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25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46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Начислено, руб.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Удержано, руб.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Задолженность, руб      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Причитается к выплате сумма, руб.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72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Всего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налог на доходы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Всего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за организацией, руб.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за работником,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250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>
          <w:trHeight w:val="345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9189,18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9189,18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1195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1195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16"/>
              </w:rPr>
              <w:t xml:space="preserve">7994,18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709"/>
        <w:jc w:val="both"/>
        <w:spacing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2. Вероника Юрьевна Б.</w:t>
      </w:r>
      <w:r/>
    </w:p>
    <w:p>
      <w:pPr>
        <w:ind w:left="0" w:right="0" w:firstLine="708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Общественная организация. Входит в список СО НКО. УСН ДОХОДЫ.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 организации юр. адрес один, а договор аренды офиса другой (деятельность по этому адресу).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 мы должны вести деятельность чтобы остаться на УСН (оформлять представительство)? Должны сообщить в ИФНС об изменении адреса или оставить все как есть?</w:t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3. Клавдия Т.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Фонд приобретает автомобиль в лизинг, как правильно отразить это в бухгалтерском учете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4. Анастасия Витальевна Б.</w:t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Помогите разобраться с лизингом.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Договор лизинга  60 мес. на сумму 6 419 200,00 руб., выкупная стоимость 1000,00, оплачен аванс в сумме 750 000,00 руб. Ежемесячный платеж в сумме 94 470 руб, и счет фактура от лизингодателя на сумму 106 765,08 руб. ежемесячно с учетом НДС и аванса.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Вопросы: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Правильно ли сделаны проводки ниже?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Должны ли мы использовать Д-т 86 К-т 83 и на какую сумму исходя из этих проводок и амортизация должна списываться, тогда при учете счета 83 – Д-т 83 К-т 02.03?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 Правильно ли сформированы расходы на счете 86 по проводкам ниже или каких-то проводок не хватает?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u w:val="single"/>
        </w:rPr>
        <w:t xml:space="preserve">1. Расчет ставки дисконтирования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Справедливую стоимость данного оборудования найти не удалось.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Займов на аналогичный срок (пять лет) у организации нет, доступной информации о рыночных ставках по займам также нет.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качестве ставки дисконтирования организация устанавливает ставку ЦБ РФ на дату получения предмета аренды (16%),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Поскольку данная ставка годовая, ее необходимо перевести в месячную (исходя из периодичности внесения арендных платежей) или ставку в расчете на день (применяется в ряде бухгалтерских программ).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Пересчет годовой ставки в дневную проводится по формуле сложных процентов: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Rдн = ( (1 + Rгод/100)^(1/365) - 1) x 100,    где ^ - знак возведения в степень.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Пересчет годовой ставки в дневную приведен в таблице.</w:t>
      </w:r>
      <w:r/>
    </w:p>
    <w:p>
      <w:pPr>
        <w:ind w:left="0" w:right="0" w:firstLine="709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2126"/>
      </w:tblGrid>
      <w:tr>
        <w:tblPrEx/>
        <w:trPr>
          <w:trHeight w:val="5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</w:rPr>
              <w:t xml:space="preserve">Годовая ставка дисконтирования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36"/>
              </w:rPr>
              <w:t xml:space="preserve">(вносится значение)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</w:rPr>
              <w:t xml:space="preserve">16,00%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Ставка дисконтирования в расчете на день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</w:rPr>
              <w:t xml:space="preserve">0,04067%</w:t>
            </w:r>
            <w:r/>
          </w:p>
        </w:tc>
      </w:tr>
    </w:tbl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u w:val="single"/>
        </w:rPr>
        <w:t xml:space="preserve">2. Расчет показателей для ФСБУ 25/2018 (обязательство по аренде, ППА, процентные расходы)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2"/>
        <w:gridCol w:w="875"/>
        <w:gridCol w:w="927"/>
        <w:gridCol w:w="415"/>
        <w:gridCol w:w="938"/>
        <w:gridCol w:w="1186"/>
        <w:gridCol w:w="905"/>
        <w:gridCol w:w="849"/>
        <w:gridCol w:w="950"/>
        <w:gridCol w:w="950"/>
        <w:gridCol w:w="852"/>
        <w:gridCol w:w="37"/>
      </w:tblGrid>
      <w:tr>
        <w:tblPrEx/>
        <w:trPr>
          <w:trHeight w:val="759"/>
        </w:trPr>
        <w:tc>
          <w:tcPr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СПИ ППА</w:t>
            </w:r>
            <w:r/>
          </w:p>
        </w:tc>
        <w:tc>
          <w:tcPr>
            <w:shd w:val="clear" w:color="ffc000" w:fill="ffc000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 86</w:t>
              <w:br/>
              <w:t xml:space="preserve">  К 76.07.5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 20, 25, 26</w:t>
              <w:br/>
              <w:t xml:space="preserve">  К 02.ППА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380"/>
        </w:trPr>
        <w:tc>
          <w:tcPr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Период платежа 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дни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Номинальная сумма платежа</w:t>
              <w:br/>
              <w:t xml:space="preserve">   с НДС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НДС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Номинальная стоимость платежа без НДС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Коэффициент дисконтирования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Приведенная сумма арендных платежей по периодам</w:t>
              <w:br/>
              <w:t xml:space="preserve"> 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гр.4 x гр.5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Процентный расход по текущему периоду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Уменьшение обязательства по аренде</w:t>
              <w:br/>
              <w:t xml:space="preserve"> 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гр. 4 - гр.7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Остаток обязательства на конец периода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Сумма амортизация ППА в месяц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547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№ графы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31.10.2023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750 000,00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125 000,00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625 000,00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92d050" w:fill="92d05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3 313 869,93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30.11.2023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0,98788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77 770,48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40 673,16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38 051,84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3 275 818,09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31.12.2023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0,97550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76 796,29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41 554,80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37 170,20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3 238 647,89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31.01.2024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0,96328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75 834,31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41 083,28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37 641,72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3 201 006,17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28.02.2024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0,95238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74 975,78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36 653,78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42 071,22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3 158 934,96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31.03.2024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0,94006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74 006,50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41 373,18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37 351,82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3 121 583,13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30.04.2024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0,92867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73 109,19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38 313,11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40 411,89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3 081 171,24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31.05.2024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0,91703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72 193,39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39 085,64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39 639,36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3 041 531,88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30.06.2024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0,90591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71 318,06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37 330,59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41 394,41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3 000 137,47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31.07.2024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0,89457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70 424,70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38 057,70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40 667,30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2 959 470,17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31.08.2024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0,88336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69 542,53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37 541,82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41 183,18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2 918 287,00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30.09.2024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0,87265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68 699,35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35 817,93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42 907,07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2 875 379,93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31.10.2024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0,86172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67 838,79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36 475,11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42 249,89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2 833 130,04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30.11.2024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0,85127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67 016,26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34 772,75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43 952,25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2 789 177,79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31.12.2024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0,84061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66 176,78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35 381,61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43 343,39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2 745 834,40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31.01.2025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0,83008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65 347,83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34 831,79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43 893,21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2 701 941,18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28.02.2025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0,82068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64 608,02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30 939,14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47 785,86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2 654 155,32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31.03.2025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0,81040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63 798,71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33 668,81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45 056,19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2 609 099,13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30.04.2025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0,80057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63 025,16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32 023,08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46 701,92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2 562 397,21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31.05.2025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0,79055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62 235,68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32 504,83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46 220,17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2 516 177,03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30.06.2025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0,78096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61 481,09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30 882,59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47 842,41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2 468 334,62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31.07.2025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0,77118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60 710,95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31 311,61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47 413,39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2 420 921,23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31.08.2025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0,76152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59 950,46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30 710,16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48 014,84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2 372 906,39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30.09.2025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0,75228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59 223,57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29 124,14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49 600,86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2 323 305,53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31.10.2025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0,74286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58 481,71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29 471,87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49 253,13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2 274 052,40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30.11.2025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0,73385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57 772,64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27 910,84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50 814,16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2 223 238,25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31.12.2025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0,72466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57 048,95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28 202,49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50 522,51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2 172 715,73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31.01.2026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0,71558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56 334,33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27 561,59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51 163,41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2 121 552,33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28.02.2026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0,70748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55 696,57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24 293,27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54 431,73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2 067 120,60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31.03.2026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0,69862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54 998,89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26 222,08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52 502,92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2 014 617,69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30.04.2026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0,69015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54 332,04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24 726,64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53 998,36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1 960 619,33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31.05.2026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0,68150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53 651,45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24 871,08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53 853,92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1 906 765,41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30.06.2026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0,67324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53 000,94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23 402,90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55 322,10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1 851 443,31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31.07.2026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0,66481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52 337,03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23 486,15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55 238,85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1 796 204,46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31.08.2026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0,65648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51 681,43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22 785,43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55 939,57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1 740 264,89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30.09.2026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0,64852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51 054,80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21 359,34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57 365,66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1 682 899,23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31.10.2026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0,64040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50 415,27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21 348,11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57 376,89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1 625 522,34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30.11.2026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0,63263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49 804,00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19 951,03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58 773,97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1 566 748,38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31.12.2026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0,62471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49 180,13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19 874,70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58 850,30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1 507 898,08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31.01.2027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0,61688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48 564,08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19 128,17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59 596,83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1 448 301,25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28.02.2027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0,60990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48 014,28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16 584,07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62 140,93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1 386 160,32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31.03.2027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0,60226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47 412,83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17 583,89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61 141,11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1 325 019,21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30.04.2027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0,59496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46 837,96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16 262,78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62 462,22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1 262 556,99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31.05.2027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0,58750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46 251,25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16 015,94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62 709,06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1 199 847,92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30.06.2027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0,58038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45 690,46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14 726,47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63 998,53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1 135 849,40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31.07.2027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0,57311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45 118,13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14 408,61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64 316,39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1 071 533,01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31.08.2027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0,56593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44 552,96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13 592,74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65 132,26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1 006 400,75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30.09.2027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0,55907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44 012,76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12 352,17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66 372,83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940 027,92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31.10.2027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0,55207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43 461,44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11 924,55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66 800,45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873 227,48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30.11.2027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0,54537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42 934,48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10 717,66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68 007,34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805 220,13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31.12.2027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0,53854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42 396,66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10 214,47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68 510,53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736 709,61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31.01.2028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0,53180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41 865,59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9 345,40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69 379,60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667 330,00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28.02.2028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0,52577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41 391,62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7 641,40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71 083,60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596 246,41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31.03.2028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0,51898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40 856,52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7 809,15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70 915,85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525 330,56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30.04.2028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0,51269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40 361,14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6 447,70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72 277,30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453 053,26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31.05.2028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0,50626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39 855,56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5 747,13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72 977,87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380 075,39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30.06.2028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0,50012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39 372,32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4 664,90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74 060,10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306 015,29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31.07.2028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0,49386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38 879,12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3 881,90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74 843,10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231 172,19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31.08.2028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0,48767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38 392,11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2 932,49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75 792,51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155 379,68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30.09.2028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94 470,00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15 745,00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78 725,00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0,48176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37 926,61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1 907,07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76 817,93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78 561,75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31.10.2028</w:t>
            </w:r>
            <w:r/>
          </w:p>
        </w:tc>
        <w:tc>
          <w:tcPr>
            <w:shd w:val="clear" w:color="ffce33" w:fill="ffce3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95 470,00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15 911,67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79 558,33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0,47573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37 847,97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996,58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78 561,75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55 231,17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5 669 200,00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1 069 866,67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5 349 333,33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92d050" w:fill="92d05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3 313 869,93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1 410 463,41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3 313 869,93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3 313 869,93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92d050" w:fill="92d05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Обязательство по аренде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line="235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center"/>
        <w:spacing w:line="235" w:lineRule="atLeast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 xml:space="preserve">Проводки на дату получения предмета аренды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551"/>
        <w:gridCol w:w="2835"/>
      </w:tblGrid>
      <w:tr>
        <w:tblPrEx/>
        <w:trPr>
          <w:trHeight w:val="759"/>
        </w:trPr>
        <w:tc>
          <w:tcPr>
            <w:shd w:val="clear" w:color="d8e4bc" w:fill="d8e4bc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Д 08.04.2   К 76.07.1</w:t>
              <w:br/>
              <w:t xml:space="preserve"> Д 01.ППА   К 08.04.2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shd w:val="clear" w:color="d8e4bc" w:fill="d8e4bc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Д 76.07.5</w:t>
              <w:br/>
              <w:t xml:space="preserve"> К 76.07.1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shd w:val="clear" w:color="d8e4bc" w:fill="d8e4bc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Д 76.07.9</w:t>
              <w:br/>
              <w:t xml:space="preserve"> К 76.07.1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blPrEx/>
        <w:trPr>
          <w:trHeight w:val="854"/>
        </w:trPr>
        <w:tc>
          <w:tcPr>
            <w:shd w:val="clear" w:color="d8e4bc" w:fill="d8e4bc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Признаны ППА и ОА в размере дисконтированной стоимости арендных платежей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shd w:val="clear" w:color="d8e4bc" w:fill="d8e4b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Учтена отложенная сумма процентных расходов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shd w:val="clear" w:color="d8e4bc" w:fill="d8e4b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Учтена отложенная сумма НДС по  арендным платежам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blPrEx/>
        <w:trPr>
          <w:trHeight w:val="288"/>
        </w:trPr>
        <w:tc>
          <w:tcPr>
            <w:shd w:val="clear" w:color="d8e4bc" w:fill="d8e4bc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3 313 869,93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shd w:val="clear" w:color="d8e4bc" w:fill="d8e4b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1 410 463,41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shd w:val="clear" w:color="d8e4bc" w:fill="d8e4bc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36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</w:rPr>
              <w:t xml:space="preserve">1 069 866,67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</w:tbl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  <w:szCs w:val="10"/>
        </w:rPr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Проводки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84"/>
        <w:gridCol w:w="4819"/>
      </w:tblGrid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60.02 К 51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750 000,00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оплачен аванс по лизинговым платежам</w:t>
            </w:r>
            <w:r/>
          </w:p>
        </w:tc>
      </w:tr>
      <w:tr>
        <w:tblPrEx/>
        <w:trPr>
          <w:trHeight w:val="58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08.04 К 76.07.1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3 313 869,93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отражено ОА (сумма дисконтированных платежей по аренде без НДС)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08.04 К 76.07.1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750 000,00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оплаченный авансовый платеж учтен в стоимости ППА</w:t>
            </w:r>
            <w:r/>
          </w:p>
        </w:tc>
      </w:tr>
      <w:tr>
        <w:tblPrEx/>
        <w:trPr>
          <w:trHeight w:val="58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76.07.5 К 76.07.1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1 410 026,51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отражены проценты по ДФА</w:t>
            </w:r>
            <w:r/>
          </w:p>
        </w:tc>
      </w:tr>
      <w:tr>
        <w:tblPrEx/>
        <w:trPr>
          <w:trHeight w:val="58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76.07.9 К 76.07.1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1 069 866,67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отражен НДС со всей суммы лизинговых платежей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01.03 К 08.04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4 063 869,93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ввод в эксплуатацию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60.02 К 51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283 848,00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лизинговые платежи</w:t>
            </w:r>
            <w:r/>
          </w:p>
        </w:tc>
      </w:tr>
      <w:tr>
        <w:tblPrEx/>
        <w:trPr>
          <w:trHeight w:val="58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76.07.01 К76.07.2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225 825,24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услуги лизинга по счетам фактуры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86 К76.07.9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37 637,54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Начислен НДС по счетам фактурам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76.07.2 К 60.02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225 825,24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зачет аванса поставщику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86 К76.07.5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82 227,96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начислены проценты</w:t>
            </w:r>
            <w:r/>
          </w:p>
        </w:tc>
      </w:tr>
      <w:tr>
        <w:tblPrEx/>
        <w:trPr>
          <w:trHeight w:val="2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26.02 К 02.03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110 462,33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начислена амортизация</w:t>
            </w:r>
            <w:r/>
          </w:p>
        </w:tc>
      </w:tr>
      <w:tr>
        <w:tblPrEx/>
        <w:trPr>
          <w:trHeight w:val="58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 86 К  26.02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     110 462,33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235" w:lineRule="atLeast"/>
        <w:rPr>
          <w:rFonts w:ascii="Times New Roman" w:hAnsi="Times New Roman" w:eastAsia="Times New Roman" w:cs="Times New Roman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ind w:left="0" w:right="0" w:firstLine="708"/>
        <w:spacing w:line="235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. Татьяна Стефановна К.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ff"/>
          <w:sz w:val="36"/>
          <w:u w:val="none"/>
        </w:rPr>
        <w:t xml:space="preserve">ШАРОНОВА</w:t>
      </w:r>
      <w:r>
        <w:rPr>
          <w:rFonts w:ascii="Times New Roman" w:hAnsi="Times New Roman" w:eastAsia="Times New Roman" w:cs="Times New Roman"/>
          <w:b/>
          <w:color w:val="000000"/>
          <w:sz w:val="36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НКО начисляется в декабре премия.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       Какое может быть обоснование, если  суммы разные в зависимости от вовлеченности в дела фонда – скажем субъективная оценка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       Фонд имеет возможность начислить и выплатить эту премию благодаря росту приносящей доход деятельности.  Надо ли этот  источник указывать в приказе?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       Какой код дохода ставить в 2-НДФЛ сотрудникам? (варианты 2002 или 2003 или как зарплата 2000?)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       Какой код дохода директору (как у сотрудников или 2001)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       Какие документы кроме приказа руководителя надо оформить на выплату премии?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6. К какому виду расходов логичнее отнести такую премию - к административным, к расходам за счет приносящей доход деятельности (при условии указания источника выплат,  система налогообложения УСН 6%, те на налоги не повлияет) или распределить в зависимости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от программы, в которой работает каждый отдельный премированный.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Должно ли это быть прописано в приказе?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6. Мадина К.</w:t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Одним из направлений деятельности благотворительного фонда является оказание помощи тяжелобольным гражданам.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настоящее время обратилась семья с просьбой приобрести для ребенка инвалидное кресло-коляску.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Фонд планирует заключить 3-х сторонний договор, с элементами договора поставки и пожертвования, в котором фонд выступает в качестве плательщика, а родители ребенка- получателями.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соответствии со ст. 509 ГК РФ, поставка товаров может осуществляется поставщиком путем отгрузки (передачи) товаров как покупателю, являющемуся стороной договора поставки, так и лицу, указанному в договоре в качестве получателя. Т.е. </w:t>
      </w: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товар Фонд не получает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, а его принимают родители ребенка.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Товарных накладных/УПД в соответствующих графах ставят подписи/печати поставщик, получатель и плательщик.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Принимая во внимание, что инвалидное кресло-коляска вошло в перечень товаров, подлежащих обязательной маркировке, возникает вопрос о проведении коляски через систему «Честный знак».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Поставщику необходимо вывести коляску из оборота, но ведь Фонд не принимает в собственность товар, товар сразу переходит в собственность физ.лица.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связи с эти возникает вопрос, обязан ли в данном случае Фонд зарегистрироваться в системе «Честный знак»? Существуют ли варианты решения вопроса без регистрации в данной системе?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7. Лариса Е.</w:t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Утверждение сметы некоммерческой организации и внесение в него изменений осуществляются высшим органом управления организации (п. 3 ст. 29 Закона № 7-ФЗ).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Возможно ли, чтобы Смету утверждал и вносил изменения постоянно действующий коллегиальный выборный орган НКО (Правление в нашем случае), если такое право дано ему Уставом организации?   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Такие изменения можно внести в Устав? </w:t>
      </w:r>
      <w:r>
        <w:rPr>
          <w:rFonts w:ascii="Arial" w:hAnsi="Arial" w:eastAsia="Arial" w:cs="Arial"/>
          <w:color w:val="222222"/>
          <w:sz w:val="26"/>
          <w:szCs w:val="26"/>
          <w:highlight w:val="white"/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7</cp:revision>
  <dcterms:modified xsi:type="dcterms:W3CDTF">2024-12-18T06:44:58Z</dcterms:modified>
</cp:coreProperties>
</file>