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20"/>
        <w:jc w:val="center"/>
        <w:spacing w:after="0"/>
        <w:rPr>
          <w:b/>
          <w:bCs/>
          <w:sz w:val="50"/>
          <w:szCs w:val="5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50"/>
          <w:szCs w:val="50"/>
        </w:rPr>
        <w:t xml:space="preserve">Вопросы к вебинару 17.09.2024 (вторник)</w:t>
      </w:r>
      <w:r>
        <w:rPr>
          <w:b/>
          <w:bCs/>
          <w:sz w:val="50"/>
          <w:szCs w:val="50"/>
        </w:rPr>
      </w:r>
      <w:r>
        <w:rPr>
          <w:b/>
          <w:bCs/>
          <w:sz w:val="50"/>
          <w:szCs w:val="50"/>
        </w:rPr>
      </w:r>
    </w:p>
    <w:p>
      <w:pPr>
        <w:ind w:left="0" w:right="0" w:firstLine="720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0" w:right="0" w:firstLine="720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0" w:right="0" w:firstLine="72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Анна Викторовна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 К.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НЕВЕРОВ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С самозанятым гражданином заключен договор на оказание услуг в другом регионе и прописано, что кроме вознаграждения, Заказчик оплачивает проезд и проживание к месту оказания услуг. Билеты и гостиницу Заказчик оплачивает самостоятельно, напрямую у поставщик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а билетов и проживания. 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Можно ли учесть эти расходы в налоговом учёте и облагаются эти дополнительные выплаты налогами?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left="0" w:right="0" w:firstLine="72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</w:r>
    </w:p>
    <w:p>
      <w:pPr>
        <w:ind w:left="0" w:right="0" w:firstLine="72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2. Ольга Сергеевна И.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</w:r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color w:val="ffff00"/>
          <w:sz w:val="36"/>
        </w:rPr>
        <w:t xml:space="preserve">САВКОВА</w:t>
      </w:r>
      <w:r/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НКО учреждена в 2022 г.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Из протокола учредительного собрания: восемь учредителей должны внести имущественный взнос по 1250 руб. Доходы НКО за 2022 г.: имущественный взнос учредителей 2500 (внесли только два учредителя) и пожертвования физ. лиц. 16200 руб. Расходы 13880 руб.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1) надо ли начислять задолженность учредителей в 2022г.?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2) на конец года остаток денежных средств 4820 оставшиеся от пожертвования, надо ли восстанавливать имущественный взнос учредителей за счет этих поступлений?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0" w:right="0" w:firstLine="72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Светлана М.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лаготворительный фонд оказывает помощь детям с тяжелыми заболеваниями, угрожающими жизни.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Может ли благотворительный фонд оказывать благотворительную помощь в форме приобретения и передачи лекарственных препаратов благополучателю по договору пожертвования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или в форме содействия благополучателю приобретению лекарстве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нных препаратов? 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Не противоречат ли данные операции законодательным актам, регулирующим обращение лекарственных средств.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Какие документы должны быть оформлены при осуществлении операций?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0" w:right="0" w:firstLine="720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4. Зоя Ивановна Ш.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НЕВЕРОВ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С 01.01.2025 года организации на УСН станут плательщиками НДС.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Что добавится в работе бухгалтера НКО на УСН,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если доход менее 60 млн.руб в год?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Ведём деятельность, приносящую доход (услуги реабилитации юридическим и физическим лицам).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left="0" w:right="0" w:firstLine="72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5. Маргарита Николаевна К.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</w:r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color w:val="ffff00"/>
          <w:sz w:val="36"/>
        </w:rPr>
        <w:t xml:space="preserve">САВКОВА</w:t>
      </w:r>
      <w:r/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ланета (planeta.ru) предложила Фонду свой краудфандинговый онлайн-сервис для сбора средств на реализацию социального (некоммерческого) проекта. Основанием является Соглашение (прилагается) и Правила платформы (https://planeta.ru/docs). В случае сбора целев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ой суммы Планета переводит собранные средства Фонду за вычетом своей комиссии, а в случае недобора целевой суммы за определённое время средства возвращаются плательщикам.</w:t>
      </w:r>
      <w:r/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Платформа работает для сбора средств как на благотворительные проекты, так и на неблаготворительные.</w:t>
      </w:r>
      <w:r/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Пример сбора на благотворительный проект: https://planeta.ru/campaigns/kotiki_vrn </w:t>
      </w:r>
      <w:r/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а веб-странице проекта приводится описание проекта и ряд лотов, за которые потенциальным плательщикам (народу) предлагается заплатить, оказав проекту финансовую поддержку – таким образом и происходит сбор целевой суммы. Например, это может быть благодарств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нное письмо за 500 ₽, футболка с символикой за 1000 ₽, какой-то сувенир или встреча с какой-то интересной личностью и т.п. Эти лоты называются Вознаграждениями. Таким образом, Фонду предлагается опубликовать на платформе Планеты проект, собирая средства за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 счет реализации таких лотов-вознаграждений.</w:t>
      </w:r>
      <w:r/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Вопросы:</w:t>
      </w:r>
      <w:r/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1.</w:t>
        <w:tab/>
        <w:t xml:space="preserve">Если трактовать собранные суммы как пожертвования, то нас смущает, что имеется встречное представление /возмездность – за счет условной «продажи» лотов («вознаграждений»). Есть ли основания присваивать собранным средствам статус пожертвований?</w:t>
      </w:r>
      <w:r/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2.</w:t>
        <w:tab/>
        <w:t xml:space="preserve">Если считать реализацию лотов продажей и облагать налогом собранные суммы, возникают ли у Фонда обязательства как у продавца, вытекающие из закона о защите прав потребителей?</w:t>
      </w:r>
      <w:r/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3.</w:t>
        <w:tab/>
        <w:t xml:space="preserve">Если реализация лотов не является сбором пожертвований, то требуется ли выставление кассового чека согласно ФЗ №54 о применении ККТ?</w:t>
      </w:r>
      <w:r/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.</w:t>
        <w:tab/>
        <w:t xml:space="preserve">Оправдано ли в планируемых правоотношениях по организации сбора средств, что Планета, будучи посредником между плательщиками и Фондом, не имеет кодов ОКВЭД, связанных с финансовыми услугами, финансовым посредничеством и т.п., а использует только ОКВЭД 62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.0 – Разработка компьютерного программного обеспечения, консультационные услуги в данной области и другие сопутствующие услуги?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left="0" w:right="0" w:firstLine="720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Олеся Юльевна К.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Как правильно организовать помощь (в виде денежных средств и/или товаров первой необходимости) пострадавшим в Курской области через профсоюзные организации за счёт средств работодателя и профбюджета. В одном из городов Курской области находится наша профсою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зная организация при предприятии. На данный момент там не работают магазины, банки, аптеки. Перевод денежных средств неактуален, так как снять и потратить их невозможно. Также идёт помощь пострадавшим беженцам, вывезенным в другие регионы. Для них организую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т помощь в виде продуктов, размещения, товаров первой необходимости.</w:t>
      </w:r>
      <w:r/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Как правильно профсоюзные организации могут работать с волонтёрами/волонтёрскими организациями и благотворительными фондами.</w:t>
      </w:r>
      <w:r/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6</cp:revision>
  <dcterms:modified xsi:type="dcterms:W3CDTF">2024-09-17T06:59:21Z</dcterms:modified>
</cp:coreProperties>
</file>