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C4" w:rsidRDefault="00BF6AFB">
      <w:pPr>
        <w:pBdr>
          <w:top w:val="none" w:sz="4" w:space="0" w:color="000000"/>
          <w:left w:val="none" w:sz="4" w:space="0" w:color="000000"/>
          <w:bottom w:val="none" w:sz="4" w:space="0" w:color="000000"/>
          <w:right w:val="none" w:sz="4" w:space="0" w:color="000000"/>
        </w:pBdr>
        <w:spacing w:after="0"/>
        <w:ind w:firstLine="708"/>
        <w:jc w:val="center"/>
        <w:rPr>
          <w:b/>
          <w:bCs/>
          <w:sz w:val="36"/>
          <w:szCs w:val="36"/>
        </w:rPr>
      </w:pPr>
      <w:r>
        <w:rPr>
          <w:rFonts w:ascii="Times New Roman" w:eastAsia="Times New Roman" w:hAnsi="Times New Roman" w:cs="Times New Roman"/>
          <w:b/>
          <w:bCs/>
          <w:color w:val="000000"/>
          <w:sz w:val="36"/>
          <w:szCs w:val="36"/>
        </w:rPr>
        <w:t xml:space="preserve">Вопросы к </w:t>
      </w:r>
      <w:proofErr w:type="spellStart"/>
      <w:r>
        <w:rPr>
          <w:rFonts w:ascii="Times New Roman" w:eastAsia="Times New Roman" w:hAnsi="Times New Roman" w:cs="Times New Roman"/>
          <w:b/>
          <w:bCs/>
          <w:color w:val="000000"/>
          <w:sz w:val="36"/>
          <w:szCs w:val="36"/>
        </w:rPr>
        <w:t>вебинару</w:t>
      </w:r>
      <w:proofErr w:type="spellEnd"/>
      <w:r>
        <w:rPr>
          <w:rFonts w:ascii="Times New Roman" w:eastAsia="Times New Roman" w:hAnsi="Times New Roman" w:cs="Times New Roman"/>
          <w:b/>
          <w:bCs/>
          <w:color w:val="000000"/>
          <w:sz w:val="36"/>
          <w:szCs w:val="36"/>
        </w:rPr>
        <w:t xml:space="preserve"> 04.07.2024</w:t>
      </w:r>
    </w:p>
    <w:p w:rsidR="008168C4" w:rsidRDefault="00BF6AFB">
      <w:pPr>
        <w:pBdr>
          <w:top w:val="none" w:sz="4" w:space="0" w:color="000000"/>
          <w:left w:val="none" w:sz="4" w:space="0" w:color="000000"/>
          <w:bottom w:val="none" w:sz="4" w:space="0" w:color="000000"/>
          <w:right w:val="none" w:sz="4" w:space="0" w:color="000000"/>
        </w:pBdr>
        <w:spacing w:after="0"/>
        <w:ind w:firstLine="708"/>
        <w:jc w:val="both"/>
        <w:rPr>
          <w:sz w:val="36"/>
          <w:szCs w:val="36"/>
        </w:rPr>
      </w:pPr>
      <w:r>
        <w:rPr>
          <w:rFonts w:ascii="Times New Roman" w:eastAsia="Times New Roman" w:hAnsi="Times New Roman" w:cs="Times New Roman"/>
          <w:color w:val="000000"/>
          <w:sz w:val="36"/>
          <w:szCs w:val="36"/>
        </w:rPr>
        <w:t> </w:t>
      </w:r>
    </w:p>
    <w:p w:rsidR="008168C4" w:rsidRDefault="00BF6AFB">
      <w:pPr>
        <w:pBdr>
          <w:top w:val="none" w:sz="4" w:space="0" w:color="000000"/>
          <w:left w:val="none" w:sz="4" w:space="0" w:color="000000"/>
          <w:bottom w:val="none" w:sz="4" w:space="0" w:color="000000"/>
          <w:right w:val="none" w:sz="4" w:space="0" w:color="000000"/>
        </w:pBdr>
        <w:spacing w:after="0"/>
        <w:ind w:firstLine="708"/>
        <w:jc w:val="both"/>
        <w:rPr>
          <w:sz w:val="36"/>
          <w:szCs w:val="36"/>
        </w:rPr>
      </w:pPr>
      <w:r>
        <w:rPr>
          <w:rFonts w:ascii="Times New Roman" w:eastAsia="Times New Roman" w:hAnsi="Times New Roman" w:cs="Times New Roman"/>
          <w:color w:val="000000"/>
          <w:sz w:val="36"/>
          <w:szCs w:val="36"/>
        </w:rPr>
        <w:t> </w:t>
      </w:r>
    </w:p>
    <w:p w:rsidR="008168C4" w:rsidRDefault="00BF6AFB">
      <w:pPr>
        <w:pBdr>
          <w:top w:val="none" w:sz="4" w:space="0" w:color="000000"/>
          <w:left w:val="none" w:sz="4" w:space="0" w:color="000000"/>
          <w:bottom w:val="none" w:sz="4" w:space="0" w:color="000000"/>
          <w:right w:val="none" w:sz="4" w:space="0" w:color="000000"/>
        </w:pBdr>
        <w:spacing w:after="0"/>
        <w:ind w:firstLine="708"/>
        <w:jc w:val="both"/>
        <w:rPr>
          <w:sz w:val="36"/>
          <w:szCs w:val="36"/>
        </w:rPr>
      </w:pPr>
      <w:r>
        <w:rPr>
          <w:rFonts w:ascii="Times New Roman" w:eastAsia="Times New Roman" w:hAnsi="Times New Roman" w:cs="Times New Roman"/>
          <w:b/>
          <w:bCs/>
          <w:color w:val="000000"/>
          <w:sz w:val="36"/>
          <w:szCs w:val="36"/>
        </w:rPr>
        <w:t>1. Светлана Сергеевна Л.</w:t>
      </w:r>
    </w:p>
    <w:p w:rsidR="008168C4" w:rsidRDefault="00BF6AFB">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b/>
          <w:color w:val="FF0000"/>
          <w:sz w:val="36"/>
        </w:rPr>
        <w:t>НЕВЕРОВ</w:t>
      </w:r>
    </w:p>
    <w:p w:rsidR="008168C4" w:rsidRDefault="00BF6AFB">
      <w:pPr>
        <w:pBdr>
          <w:top w:val="none" w:sz="4" w:space="0" w:color="000000"/>
          <w:left w:val="none" w:sz="4" w:space="0" w:color="000000"/>
          <w:bottom w:val="none" w:sz="4" w:space="0" w:color="000000"/>
          <w:right w:val="none" w:sz="4" w:space="0" w:color="000000"/>
        </w:pBdr>
        <w:spacing w:after="0"/>
        <w:ind w:firstLine="708"/>
        <w:jc w:val="both"/>
        <w:rPr>
          <w:sz w:val="36"/>
          <w:szCs w:val="36"/>
        </w:rPr>
      </w:pPr>
      <w:r>
        <w:rPr>
          <w:rFonts w:ascii="Times New Roman" w:eastAsia="Times New Roman" w:hAnsi="Times New Roman" w:cs="Times New Roman"/>
          <w:color w:val="000000"/>
          <w:sz w:val="36"/>
          <w:szCs w:val="36"/>
        </w:rPr>
        <w:t>Благотворительный фонд подлежит обязательному аудиту.</w:t>
      </w:r>
    </w:p>
    <w:p w:rsidR="008168C4" w:rsidRDefault="00BF6AFB">
      <w:pPr>
        <w:pBdr>
          <w:top w:val="none" w:sz="4" w:space="0" w:color="000000"/>
          <w:left w:val="none" w:sz="4" w:space="0" w:color="000000"/>
          <w:bottom w:val="none" w:sz="4" w:space="0" w:color="000000"/>
          <w:right w:val="none" w:sz="4" w:space="0" w:color="000000"/>
        </w:pBdr>
        <w:spacing w:after="0"/>
        <w:ind w:firstLine="708"/>
        <w:jc w:val="both"/>
        <w:rPr>
          <w:sz w:val="36"/>
          <w:szCs w:val="36"/>
        </w:rPr>
      </w:pPr>
      <w:r>
        <w:rPr>
          <w:rFonts w:ascii="Times New Roman" w:eastAsia="Times New Roman" w:hAnsi="Times New Roman" w:cs="Times New Roman"/>
          <w:color w:val="000000"/>
          <w:sz w:val="36"/>
          <w:szCs w:val="36"/>
        </w:rPr>
        <w:t>Ежегодно выпускаем публичный годовой отчёт, размещаем на сайте и печатаем небольшим тиражом.</w:t>
      </w:r>
    </w:p>
    <w:p w:rsidR="008168C4" w:rsidRDefault="00BF6AFB">
      <w:pPr>
        <w:pBdr>
          <w:top w:val="none" w:sz="4" w:space="0" w:color="000000"/>
          <w:left w:val="none" w:sz="4" w:space="0" w:color="000000"/>
          <w:bottom w:val="none" w:sz="4" w:space="0" w:color="000000"/>
          <w:right w:val="none" w:sz="4" w:space="0" w:color="000000"/>
        </w:pBdr>
        <w:spacing w:after="0"/>
        <w:ind w:firstLine="708"/>
        <w:jc w:val="both"/>
        <w:rPr>
          <w:sz w:val="36"/>
          <w:szCs w:val="36"/>
        </w:rPr>
      </w:pPr>
      <w:r>
        <w:rPr>
          <w:rFonts w:ascii="Times New Roman" w:eastAsia="Times New Roman" w:hAnsi="Times New Roman" w:cs="Times New Roman"/>
          <w:color w:val="000000"/>
          <w:sz w:val="36"/>
          <w:szCs w:val="36"/>
        </w:rPr>
        <w:t xml:space="preserve">Аудитор потребовал </w:t>
      </w:r>
      <w:proofErr w:type="gramStart"/>
      <w:r>
        <w:rPr>
          <w:rFonts w:ascii="Times New Roman" w:eastAsia="Times New Roman" w:hAnsi="Times New Roman" w:cs="Times New Roman"/>
          <w:color w:val="000000"/>
          <w:sz w:val="36"/>
          <w:szCs w:val="36"/>
        </w:rPr>
        <w:t>предоставить ему публичный годовой отчёт</w:t>
      </w:r>
      <w:proofErr w:type="gramEnd"/>
      <w:r>
        <w:rPr>
          <w:rFonts w:ascii="Times New Roman" w:eastAsia="Times New Roman" w:hAnsi="Times New Roman" w:cs="Times New Roman"/>
          <w:color w:val="000000"/>
          <w:sz w:val="36"/>
          <w:szCs w:val="36"/>
        </w:rPr>
        <w:t xml:space="preserve"> в </w:t>
      </w:r>
      <w:proofErr w:type="spellStart"/>
      <w:r>
        <w:rPr>
          <w:rFonts w:ascii="Times New Roman" w:eastAsia="Times New Roman" w:hAnsi="Times New Roman" w:cs="Times New Roman"/>
          <w:color w:val="000000"/>
          <w:sz w:val="36"/>
          <w:szCs w:val="36"/>
        </w:rPr>
        <w:t>эл</w:t>
      </w:r>
      <w:proofErr w:type="spellEnd"/>
      <w:r>
        <w:rPr>
          <w:rFonts w:ascii="Times New Roman" w:eastAsia="Times New Roman" w:hAnsi="Times New Roman" w:cs="Times New Roman"/>
          <w:color w:val="000000"/>
          <w:sz w:val="36"/>
          <w:szCs w:val="36"/>
        </w:rPr>
        <w:t>. виде, якобы для проверки.</w:t>
      </w:r>
    </w:p>
    <w:p w:rsidR="008168C4" w:rsidRDefault="00BF6AFB">
      <w:pPr>
        <w:pBdr>
          <w:top w:val="none" w:sz="4" w:space="0" w:color="000000"/>
          <w:left w:val="none" w:sz="4" w:space="0" w:color="000000"/>
          <w:bottom w:val="none" w:sz="4" w:space="0" w:color="000000"/>
          <w:right w:val="none" w:sz="4" w:space="0" w:color="000000"/>
        </w:pBdr>
        <w:spacing w:after="0"/>
        <w:ind w:firstLine="708"/>
        <w:jc w:val="both"/>
        <w:rPr>
          <w:sz w:val="36"/>
          <w:szCs w:val="36"/>
        </w:rPr>
      </w:pPr>
      <w:r>
        <w:rPr>
          <w:rFonts w:ascii="Times New Roman" w:eastAsia="Times New Roman" w:hAnsi="Times New Roman" w:cs="Times New Roman"/>
          <w:color w:val="000000"/>
          <w:sz w:val="36"/>
          <w:szCs w:val="36"/>
        </w:rPr>
        <w:t>Имеет ли он право на это?</w:t>
      </w:r>
    </w:p>
    <w:p w:rsidR="008168C4" w:rsidRDefault="00BF6AFB">
      <w:pPr>
        <w:pBdr>
          <w:top w:val="none" w:sz="4" w:space="0" w:color="000000"/>
          <w:left w:val="none" w:sz="4" w:space="0" w:color="000000"/>
          <w:bottom w:val="none" w:sz="4" w:space="0" w:color="000000"/>
          <w:right w:val="none" w:sz="4" w:space="0" w:color="000000"/>
        </w:pBdr>
        <w:spacing w:after="0"/>
        <w:ind w:firstLine="708"/>
        <w:jc w:val="both"/>
        <w:rPr>
          <w:sz w:val="36"/>
          <w:szCs w:val="36"/>
        </w:rPr>
      </w:pPr>
      <w:r>
        <w:rPr>
          <w:rFonts w:ascii="Times New Roman" w:eastAsia="Times New Roman" w:hAnsi="Times New Roman" w:cs="Times New Roman"/>
          <w:color w:val="000000"/>
          <w:sz w:val="36"/>
          <w:szCs w:val="36"/>
        </w:rPr>
        <w:t>Ведь публичный годовой отчёт не имеет никакого отношения к годовой бухгалтерской отчётности.</w:t>
      </w:r>
    </w:p>
    <w:p w:rsidR="008168C4" w:rsidRDefault="00BF6AFB">
      <w:pPr>
        <w:pBdr>
          <w:top w:val="none" w:sz="4" w:space="0" w:color="000000"/>
          <w:left w:val="none" w:sz="4" w:space="0" w:color="000000"/>
          <w:bottom w:val="none" w:sz="4" w:space="0" w:color="000000"/>
          <w:right w:val="none" w:sz="4" w:space="0" w:color="000000"/>
        </w:pBdr>
        <w:spacing w:after="0"/>
        <w:ind w:firstLine="708"/>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w:t>
      </w:r>
    </w:p>
    <w:p w:rsidR="005D2E0A" w:rsidRDefault="005D2E0A">
      <w:pPr>
        <w:pBdr>
          <w:top w:val="none" w:sz="4" w:space="0" w:color="000000"/>
          <w:left w:val="none" w:sz="4" w:space="0" w:color="000000"/>
          <w:bottom w:val="none" w:sz="4" w:space="0" w:color="000000"/>
          <w:right w:val="none" w:sz="4" w:space="0" w:color="000000"/>
        </w:pBdr>
        <w:spacing w:after="0"/>
        <w:ind w:firstLine="708"/>
        <w:jc w:val="both"/>
        <w:rPr>
          <w:rFonts w:ascii="Times New Roman" w:eastAsia="Times New Roman" w:hAnsi="Times New Roman" w:cs="Times New Roman"/>
          <w:color w:val="000000"/>
          <w:sz w:val="36"/>
          <w:szCs w:val="36"/>
        </w:rPr>
      </w:pPr>
    </w:p>
    <w:p w:rsidR="005D2E0A" w:rsidRDefault="005D2E0A" w:rsidP="005D2E0A">
      <w:pPr>
        <w:pStyle w:val="ConsPlusNormal"/>
        <w:jc w:val="right"/>
        <w:outlineLvl w:val="0"/>
      </w:pPr>
      <w:r>
        <w:t>Приложение N 35</w:t>
      </w:r>
    </w:p>
    <w:p w:rsidR="005D2E0A" w:rsidRDefault="005D2E0A" w:rsidP="005D2E0A">
      <w:pPr>
        <w:pStyle w:val="ConsPlusNormal"/>
        <w:jc w:val="right"/>
      </w:pPr>
      <w:r>
        <w:t>к приказу Министерства финансов</w:t>
      </w:r>
    </w:p>
    <w:p w:rsidR="005D2E0A" w:rsidRDefault="005D2E0A" w:rsidP="005D2E0A">
      <w:pPr>
        <w:pStyle w:val="ConsPlusNormal"/>
        <w:jc w:val="right"/>
      </w:pPr>
      <w:r>
        <w:t>Российской Федерации</w:t>
      </w:r>
    </w:p>
    <w:p w:rsidR="005D2E0A" w:rsidRDefault="005D2E0A" w:rsidP="005D2E0A">
      <w:pPr>
        <w:pStyle w:val="ConsPlusNormal"/>
        <w:jc w:val="right"/>
      </w:pPr>
      <w:r>
        <w:t>от 09.01.2019 N 2н</w:t>
      </w:r>
    </w:p>
    <w:p w:rsidR="005D2E0A" w:rsidRDefault="005D2E0A" w:rsidP="005D2E0A">
      <w:pPr>
        <w:pStyle w:val="ConsPlusNormal"/>
        <w:ind w:firstLine="540"/>
        <w:jc w:val="both"/>
      </w:pPr>
    </w:p>
    <w:p w:rsidR="005D2E0A" w:rsidRDefault="005D2E0A" w:rsidP="005D2E0A">
      <w:pPr>
        <w:pStyle w:val="ConsPlusTitle"/>
        <w:jc w:val="center"/>
      </w:pPr>
      <w:r>
        <w:t>МЕЖДУНАРОДНЫЙ СТАНДАРТ АУДИТА 720 (ПЕРЕСМОТРЕННЫЙ)</w:t>
      </w:r>
    </w:p>
    <w:p w:rsidR="005D2E0A" w:rsidRDefault="005D2E0A" w:rsidP="005D2E0A">
      <w:pPr>
        <w:pStyle w:val="ConsPlusTitle"/>
        <w:jc w:val="center"/>
      </w:pPr>
      <w:r>
        <w:t>"ОБЯЗАННОСТИ АУДИТОРА, ОТНОСЯЩИЕСЯ К ПРОЧЕЙ ИНФОРМАЦИИ"</w:t>
      </w:r>
    </w:p>
    <w:p w:rsidR="005D2E0A" w:rsidRDefault="005D2E0A" w:rsidP="005D2E0A">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9071"/>
      </w:tblGrid>
      <w:tr w:rsidR="005D2E0A" w:rsidTr="004D0CB6">
        <w:tc>
          <w:tcPr>
            <w:tcW w:w="9071" w:type="dxa"/>
            <w:tcBorders>
              <w:top w:val="single" w:sz="4" w:space="0" w:color="auto"/>
              <w:left w:val="single" w:sz="4" w:space="0" w:color="auto"/>
              <w:bottom w:val="single" w:sz="4" w:space="0" w:color="auto"/>
              <w:right w:val="single" w:sz="4" w:space="0" w:color="auto"/>
            </w:tcBorders>
          </w:tcPr>
          <w:p w:rsidR="005D2E0A" w:rsidRDefault="005D2E0A" w:rsidP="004D0CB6">
            <w:pPr>
              <w:pStyle w:val="ConsPlusNormal"/>
              <w:ind w:firstLine="283"/>
              <w:jc w:val="both"/>
            </w:pPr>
            <w:r>
              <w:t>Международный стандарт аудита (МСА) 720 (пересмотренный) "Обязанности аудитора, относящиеся к прочей информации" следует рассматривать вместе с МСА 200 "Основные цели независимого аудитора и проведение аудита в соответствии с Международными стандартами аудита".</w:t>
            </w:r>
          </w:p>
        </w:tc>
      </w:tr>
    </w:tbl>
    <w:p w:rsidR="005D2E0A" w:rsidRDefault="005D2E0A" w:rsidP="005D2E0A">
      <w:pPr>
        <w:pStyle w:val="ConsPlusNormal"/>
        <w:ind w:firstLine="540"/>
        <w:jc w:val="both"/>
      </w:pPr>
    </w:p>
    <w:p w:rsidR="005D2E0A" w:rsidRDefault="005D2E0A" w:rsidP="005D2E0A">
      <w:pPr>
        <w:pStyle w:val="ConsPlusTitle"/>
        <w:ind w:firstLine="540"/>
        <w:jc w:val="both"/>
        <w:outlineLvl w:val="1"/>
      </w:pPr>
      <w:r>
        <w:t>Введение</w:t>
      </w:r>
    </w:p>
    <w:p w:rsidR="005D2E0A" w:rsidRDefault="005D2E0A" w:rsidP="005D2E0A">
      <w:pPr>
        <w:pStyle w:val="ConsPlusNormal"/>
        <w:ind w:firstLine="540"/>
        <w:jc w:val="both"/>
      </w:pPr>
    </w:p>
    <w:p w:rsidR="005D2E0A" w:rsidRDefault="005D2E0A" w:rsidP="005D2E0A">
      <w:pPr>
        <w:pStyle w:val="ConsPlusTitle"/>
        <w:ind w:firstLine="540"/>
        <w:jc w:val="both"/>
        <w:outlineLvl w:val="2"/>
      </w:pPr>
      <w:r>
        <w:t>Сфера применения настоящего стандарта</w:t>
      </w:r>
    </w:p>
    <w:p w:rsidR="005D2E0A" w:rsidRDefault="005D2E0A" w:rsidP="005D2E0A">
      <w:pPr>
        <w:pStyle w:val="ConsPlusNormal"/>
        <w:spacing w:before="240"/>
        <w:ind w:firstLine="540"/>
        <w:jc w:val="both"/>
      </w:pPr>
      <w:r>
        <w:t xml:space="preserve">1. В настоящем Международном стандарте аудита (МСА) устанавливаются обязанности аудитора в отношении прочей информации, как финансовой, так и нефинансовой (отличной от финансовой отчетности и аудиторского заключения об этой отчетности), включенной в годовой отчет организации. Годовой отчет организации может представлять собой </w:t>
      </w:r>
      <w:r w:rsidRPr="0007796D">
        <w:rPr>
          <w:highlight w:val="yellow"/>
        </w:rPr>
        <w:t>один документ или совокупность нескольких документов</w:t>
      </w:r>
      <w:r>
        <w:t>, предназначенных для одной и той же цели.</w:t>
      </w:r>
    </w:p>
    <w:p w:rsidR="005D2E0A" w:rsidRDefault="005D2E0A" w:rsidP="005D2E0A">
      <w:pPr>
        <w:pStyle w:val="ConsPlusNormal"/>
        <w:spacing w:before="240"/>
        <w:ind w:firstLine="540"/>
        <w:jc w:val="both"/>
      </w:pPr>
      <w:r>
        <w:lastRenderedPageBreak/>
        <w:t>12. Для целей Международных стандартов аудита следующие термины имеют приведенные ниже значения:</w:t>
      </w:r>
    </w:p>
    <w:p w:rsidR="005D2E0A" w:rsidRDefault="005D2E0A" w:rsidP="005D2E0A">
      <w:pPr>
        <w:pStyle w:val="ConsPlusNormal"/>
        <w:spacing w:before="240"/>
        <w:ind w:firstLine="540"/>
        <w:jc w:val="both"/>
      </w:pPr>
      <w:bookmarkStart w:id="0" w:name="Par44"/>
      <w:bookmarkEnd w:id="0"/>
      <w:proofErr w:type="gramStart"/>
      <w:r>
        <w:t>(</w:t>
      </w:r>
      <w:proofErr w:type="spellStart"/>
      <w:r>
        <w:t>a</w:t>
      </w:r>
      <w:proofErr w:type="spellEnd"/>
      <w:r>
        <w:t xml:space="preserve">) годовой отчет - документ или совокупность документов, подготавливаемых, как правило, на ежегодной основе руководством или лицами, отвечающими за корпоративное управление, в соответствии с законами, нормативными актами или сложившейся практикой, с целью предоставить </w:t>
      </w:r>
      <w:r w:rsidRPr="00E37440">
        <w:rPr>
          <w:b/>
          <w:color w:val="FF0000"/>
        </w:rPr>
        <w:t>собственникам (или аналогичным заинтересованным лицам) информацию о деятельности организации</w:t>
      </w:r>
      <w:r>
        <w:t>, ее финансовых результатах и финансовом положении, отраженных в финансовой отчетности.</w:t>
      </w:r>
      <w:proofErr w:type="gramEnd"/>
      <w:r>
        <w:t xml:space="preserve"> </w:t>
      </w:r>
      <w:r w:rsidRPr="005D2E0A">
        <w:t>Годовой отчет включает в себя финансовую отчетность и аудиторское заключение об этой отчетности или прилагается к ним</w:t>
      </w:r>
      <w:r>
        <w:t xml:space="preserve"> и обычно содержит информацию об изменениях в организации, о ее будущих перспективах, рисках и факторах неопределенности, заявление органа управления организации и отчеты по вопросам корпоративного управления (</w:t>
      </w:r>
      <w:proofErr w:type="gramStart"/>
      <w:r>
        <w:t>см</w:t>
      </w:r>
      <w:proofErr w:type="gramEnd"/>
      <w:r>
        <w:t xml:space="preserve">. </w:t>
      </w:r>
      <w:hyperlink w:anchor="Par121" w:tooltip="A1. Законы, нормативные акты или сложившаяся практика могут определять содержание годового отчета и название, которое должно использоваться, для организаций конкретной юрисдикции; при этом содержание и название могут быть различными как в рамках одной юрисдикции, так и в разных юрисдикциях." w:history="1">
        <w:r>
          <w:rPr>
            <w:color w:val="0000FF"/>
          </w:rPr>
          <w:t>пункты A1</w:t>
        </w:r>
      </w:hyperlink>
      <w:r>
        <w:t xml:space="preserve"> - </w:t>
      </w:r>
      <w:hyperlink w:anchor="Par129" w:tooltip="A5. По своему характеру, назначению и содержанию годовой отчет отличается от других отчетов, таких как отчет, подготовленный для удовлетворения информационных потребностей определенной группы заинтересованных сторон, или отчет, подготовленный для соблюдения конкретных нормативных требований по представлению отчетов (даже в том случае, когда такой отчет должен быть общедоступным). Примеры отчетов, которые, в случае если они выпущены в виде отдельных документов, обычно не являются частью совокупности докум..." w:history="1">
        <w:r>
          <w:rPr>
            <w:color w:val="0000FF"/>
          </w:rPr>
          <w:t>A5</w:t>
        </w:r>
      </w:hyperlink>
      <w:r>
        <w:t>);</w:t>
      </w:r>
    </w:p>
    <w:p w:rsidR="005D2E0A" w:rsidRDefault="005D2E0A" w:rsidP="005D2E0A">
      <w:pPr>
        <w:pStyle w:val="ConsPlusNormal"/>
        <w:spacing w:before="240"/>
        <w:ind w:firstLine="540"/>
        <w:jc w:val="both"/>
      </w:pPr>
      <w:r>
        <w:t xml:space="preserve">A4. Годовой отчет может быть представлен пользователям в печатном виде или в электронной форме, </w:t>
      </w:r>
      <w:r w:rsidRPr="0007796D">
        <w:rPr>
          <w:highlight w:val="yellow"/>
        </w:rPr>
        <w:t>включая размещение на сайте организации</w:t>
      </w:r>
      <w:r>
        <w:t>. Документ или совокупность документов могут отвечать определению годового отчета независимо от способа его представления пользователям.</w:t>
      </w:r>
    </w:p>
    <w:p w:rsidR="005D2E0A" w:rsidRDefault="005D2E0A" w:rsidP="005D2E0A">
      <w:pPr>
        <w:pStyle w:val="ConsPlusNormal"/>
        <w:spacing w:before="240"/>
        <w:ind w:firstLine="540"/>
        <w:jc w:val="both"/>
      </w:pPr>
      <w:bookmarkStart w:id="1" w:name="Par129"/>
      <w:bookmarkEnd w:id="1"/>
      <w:r w:rsidRPr="00E156BA">
        <w:rPr>
          <w:highlight w:val="yellow"/>
        </w:rPr>
        <w:t xml:space="preserve">A5. </w:t>
      </w:r>
      <w:proofErr w:type="gramStart"/>
      <w:r w:rsidRPr="00E156BA">
        <w:rPr>
          <w:highlight w:val="yellow"/>
        </w:rPr>
        <w:t>По своему характеру, назначению и содержанию годовой отчет отличается от других отчетов, таких как отчет, подготовленный для удовлетворения информационных потребностей определенной группы заинтересованных сторон, или отчет, подготовленный для соблюдения конкретных нормативных требований по представлению отчетов (даже в том случае, когда такой отчет должен быть общедоступным).</w:t>
      </w:r>
      <w:proofErr w:type="gramEnd"/>
      <w:r w:rsidRPr="00E156BA">
        <w:rPr>
          <w:highlight w:val="yellow"/>
        </w:rPr>
        <w:t xml:space="preserve"> Примеры отчетов, которые, в случае если они выпущены в виде отдельных документов, обычно не являются частью совокупности документов, составляющих годовой отчет (с учетом требований законов, нормативных актов или в силу сложившейся практики), и вследствие этого не являются прочей информацией, к которой применяются положения настоящего стандарта, включают следующее:</w:t>
      </w:r>
    </w:p>
    <w:p w:rsidR="005D2E0A" w:rsidRDefault="005D2E0A" w:rsidP="005D2E0A">
      <w:pPr>
        <w:pStyle w:val="ConsPlusNormal"/>
        <w:spacing w:before="240"/>
        <w:ind w:firstLine="540"/>
        <w:jc w:val="both"/>
      </w:pPr>
      <w:proofErr w:type="gramStart"/>
      <w:r>
        <w:t xml:space="preserve">- </w:t>
      </w:r>
      <w:r w:rsidRPr="003F1D51">
        <w:rPr>
          <w:b/>
          <w:color w:val="FF0000"/>
        </w:rPr>
        <w:t xml:space="preserve">отдельные отраслевые отчеты или отчеты, подготовленные в соответствии с нормативными требованиями </w:t>
      </w:r>
      <w:r>
        <w:t>(например, отчет о достаточности капитала), такие как отчеты, составляемые в банковской, страховой и пенсионной сферах;</w:t>
      </w:r>
      <w:proofErr w:type="gramEnd"/>
    </w:p>
    <w:p w:rsidR="005D2E0A" w:rsidRDefault="005D2E0A" w:rsidP="005D2E0A">
      <w:pPr>
        <w:pStyle w:val="ConsPlusNormal"/>
        <w:spacing w:before="240"/>
        <w:ind w:firstLine="540"/>
        <w:jc w:val="both"/>
      </w:pPr>
      <w:r>
        <w:t>- отчеты о корпоративной социальной ответственности;</w:t>
      </w:r>
    </w:p>
    <w:p w:rsidR="005D2E0A" w:rsidRDefault="005D2E0A" w:rsidP="005D2E0A">
      <w:pPr>
        <w:pStyle w:val="ConsPlusNormal"/>
        <w:spacing w:before="240"/>
        <w:ind w:firstLine="540"/>
        <w:jc w:val="both"/>
      </w:pPr>
      <w:r>
        <w:t>- отчеты об устойчивом развитии;</w:t>
      </w:r>
    </w:p>
    <w:p w:rsidR="005D2E0A" w:rsidRDefault="005D2E0A" w:rsidP="005D2E0A">
      <w:pPr>
        <w:pStyle w:val="ConsPlusNormal"/>
        <w:spacing w:before="240"/>
        <w:ind w:firstLine="540"/>
        <w:jc w:val="both"/>
      </w:pPr>
      <w:r>
        <w:t>- отчеты о разнообразии и равных возможностях;</w:t>
      </w:r>
    </w:p>
    <w:p w:rsidR="005D2E0A" w:rsidRDefault="005D2E0A" w:rsidP="005D2E0A">
      <w:pPr>
        <w:pStyle w:val="ConsPlusNormal"/>
        <w:spacing w:before="240"/>
        <w:ind w:firstLine="540"/>
        <w:jc w:val="both"/>
      </w:pPr>
      <w:r>
        <w:t>- отчеты об ответственности за произведенную продукцию;</w:t>
      </w:r>
    </w:p>
    <w:p w:rsidR="005D2E0A" w:rsidRDefault="005D2E0A" w:rsidP="005D2E0A">
      <w:pPr>
        <w:pStyle w:val="ConsPlusNormal"/>
        <w:spacing w:before="240"/>
        <w:ind w:firstLine="540"/>
        <w:jc w:val="both"/>
      </w:pPr>
      <w:r>
        <w:t>- отчеты о практике трудовых отношений и условиях труда;</w:t>
      </w:r>
    </w:p>
    <w:p w:rsidR="005D2E0A" w:rsidRDefault="005D2E0A" w:rsidP="005D2E0A">
      <w:pPr>
        <w:pStyle w:val="ConsPlusNormal"/>
        <w:spacing w:before="240"/>
        <w:ind w:firstLine="540"/>
        <w:jc w:val="both"/>
      </w:pPr>
      <w:r>
        <w:t>- отчеты о соблюдении прав человека.</w:t>
      </w:r>
    </w:p>
    <w:p w:rsidR="00B83BE8" w:rsidRDefault="00B83BE8" w:rsidP="005D2E0A">
      <w:pPr>
        <w:pStyle w:val="ConsPlusNormal"/>
        <w:spacing w:before="240"/>
        <w:ind w:firstLine="540"/>
        <w:jc w:val="both"/>
      </w:pPr>
    </w:p>
    <w:p w:rsidR="00B83BE8" w:rsidRDefault="00B83BE8" w:rsidP="00B83BE8">
      <w:pPr>
        <w:pStyle w:val="ConsPlusNormal"/>
        <w:spacing w:before="240"/>
        <w:ind w:firstLine="540"/>
        <w:jc w:val="both"/>
      </w:pPr>
      <w:r>
        <w:t xml:space="preserve">A11. Определение документа или документов, являющихся годовым отчетом или входящих в его состав, часто является очевидным исходя из положений законов и нормативных актов или сложившейся практики. Во многих случаях руководство или лица, отвечающие за корпоративное управление, могли традиционно выпускать пакет документов, в совокупности составляющих годовой отчет, или принять обязательство </w:t>
      </w:r>
      <w:r>
        <w:lastRenderedPageBreak/>
        <w:t xml:space="preserve">сделать это. Тем не </w:t>
      </w:r>
      <w:proofErr w:type="gramStart"/>
      <w:r>
        <w:t>менее</w:t>
      </w:r>
      <w:proofErr w:type="gramEnd"/>
      <w:r>
        <w:t xml:space="preserve"> в некоторых случаях может быть неясно, какой документ или какие документы являются годовым отчетом или входят в его состав. В таких случаях факторами, с помощью которых аудитор может определить, какой документ или какие документы представляют собой годовой отчет или входят в его состав, являются сроки выпуска и цель этих документов, а также то, для кого они предназначены.</w:t>
      </w:r>
    </w:p>
    <w:p w:rsidR="00B83BE8" w:rsidRDefault="00B83BE8" w:rsidP="005D2E0A">
      <w:pPr>
        <w:pStyle w:val="ConsPlusNormal"/>
        <w:spacing w:before="240"/>
        <w:ind w:firstLine="540"/>
        <w:jc w:val="both"/>
      </w:pPr>
    </w:p>
    <w:p w:rsidR="00B83BE8" w:rsidRDefault="00B83BE8" w:rsidP="005D2E0A">
      <w:pPr>
        <w:pStyle w:val="ConsPlusNormal"/>
        <w:spacing w:before="240"/>
        <w:ind w:firstLine="540"/>
        <w:jc w:val="both"/>
      </w:pPr>
    </w:p>
    <w:p w:rsidR="005D2E0A" w:rsidRDefault="005D2E0A" w:rsidP="005D2E0A">
      <w:pPr>
        <w:pStyle w:val="ConsPlusNormal"/>
        <w:spacing w:before="240"/>
        <w:ind w:firstLine="540"/>
        <w:jc w:val="both"/>
      </w:pPr>
    </w:p>
    <w:p w:rsidR="00B83BE8" w:rsidRDefault="00B83BE8" w:rsidP="00B83BE8">
      <w:pPr>
        <w:pStyle w:val="ConsPlusTitle"/>
        <w:ind w:firstLine="540"/>
        <w:jc w:val="both"/>
        <w:outlineLvl w:val="1"/>
      </w:pPr>
      <w:r>
        <w:t>Требования</w:t>
      </w:r>
    </w:p>
    <w:p w:rsidR="00B83BE8" w:rsidRDefault="00B83BE8" w:rsidP="00B83BE8">
      <w:pPr>
        <w:pStyle w:val="ConsPlusNormal"/>
        <w:ind w:firstLine="540"/>
        <w:jc w:val="both"/>
      </w:pPr>
    </w:p>
    <w:p w:rsidR="00B83BE8" w:rsidRDefault="00B83BE8" w:rsidP="00B83BE8">
      <w:pPr>
        <w:pStyle w:val="ConsPlusTitle"/>
        <w:ind w:firstLine="540"/>
        <w:jc w:val="both"/>
        <w:outlineLvl w:val="2"/>
      </w:pPr>
      <w:r>
        <w:t>Получение прочей информации</w:t>
      </w:r>
    </w:p>
    <w:p w:rsidR="00B83BE8" w:rsidRDefault="00B83BE8" w:rsidP="00B83BE8">
      <w:pPr>
        <w:pStyle w:val="ConsPlusNormal"/>
        <w:spacing w:before="240"/>
        <w:ind w:firstLine="540"/>
        <w:jc w:val="both"/>
      </w:pPr>
      <w:bookmarkStart w:id="2" w:name="Par51"/>
      <w:bookmarkEnd w:id="2"/>
      <w:r>
        <w:t xml:space="preserve">13. Аудитор </w:t>
      </w:r>
      <w:r w:rsidRPr="00BB166A">
        <w:rPr>
          <w:b/>
          <w:color w:val="FF0000"/>
        </w:rPr>
        <w:t>должен</w:t>
      </w:r>
      <w:r>
        <w:t xml:space="preserve"> (</w:t>
      </w:r>
      <w:proofErr w:type="gramStart"/>
      <w:r>
        <w:t>см</w:t>
      </w:r>
      <w:proofErr w:type="gramEnd"/>
      <w:r>
        <w:t xml:space="preserve">. </w:t>
      </w:r>
      <w:hyperlink w:anchor="Par154" w:tooltip="A11. Определение документа или документов, являющихся годовым отчетом или входящих в его состав, часто является очевидным исходя из положений законов и нормативных актов или сложившейся практики. Во многих случаях руководство или лица, отвечающие за корпоративное управление, могли традиционно выпускать пакет документов, в совокупности составляющих годовой отчет, или принять обязательство сделать это. Тем не менее в некоторых случаях может быть неясно, какой документ или какие документы являются годовым о..." w:history="1">
        <w:r>
          <w:rPr>
            <w:color w:val="0000FF"/>
          </w:rPr>
          <w:t>пункты A11</w:t>
        </w:r>
      </w:hyperlink>
      <w:r>
        <w:t xml:space="preserve"> - </w:t>
      </w:r>
      <w:hyperlink w:anchor="Par176" w:tooltip="A22. МСА 580 &lt;8&gt; устанавливает требования и содержит указания в отношении использования письменных заявлений. Письменные заявления, которые должны быть запрошены в соответствии с пунктом 13(c) в отношении прочей информации, которая будет доступна только после даты аудиторского заключения, предназначены для того, чтобы аудитор мог провести процедуры в отношении такой информации, необходимые в соответствии с настоящим стандартом. Кроме того, аудитор может счесть целесообразным запросить другие письменные з..." w:history="1">
        <w:r>
          <w:rPr>
            <w:color w:val="0000FF"/>
          </w:rPr>
          <w:t>A22</w:t>
        </w:r>
      </w:hyperlink>
      <w:r>
        <w:t>):</w:t>
      </w:r>
    </w:p>
    <w:p w:rsidR="00B83BE8" w:rsidRDefault="00B83BE8" w:rsidP="00B83BE8">
      <w:pPr>
        <w:pStyle w:val="ConsPlusNormal"/>
        <w:spacing w:before="240"/>
        <w:ind w:firstLine="540"/>
        <w:jc w:val="both"/>
      </w:pPr>
      <w:bookmarkStart w:id="3" w:name="Par52"/>
      <w:bookmarkEnd w:id="3"/>
      <w:r>
        <w:t>(</w:t>
      </w:r>
      <w:proofErr w:type="spellStart"/>
      <w:r>
        <w:t>a</w:t>
      </w:r>
      <w:proofErr w:type="spellEnd"/>
      <w:r>
        <w:t xml:space="preserve">) </w:t>
      </w:r>
      <w:r w:rsidRPr="00D71CCD">
        <w:rPr>
          <w:highlight w:val="yellow"/>
        </w:rPr>
        <w:t>определить путем обсуждения с руководством, какой документ или совокупность документов входят в состав годового отчета, а также способ и сроки выпуска такого документа или таких документов, планируемые организацией;</w:t>
      </w:r>
    </w:p>
    <w:p w:rsidR="00B83BE8" w:rsidRDefault="00B83BE8" w:rsidP="00B83BE8">
      <w:pPr>
        <w:pStyle w:val="ConsPlusNormal"/>
        <w:spacing w:before="240"/>
        <w:ind w:firstLine="540"/>
        <w:jc w:val="both"/>
      </w:pPr>
      <w:r>
        <w:t>(</w:t>
      </w:r>
      <w:proofErr w:type="spellStart"/>
      <w:r>
        <w:t>b</w:t>
      </w:r>
      <w:proofErr w:type="spellEnd"/>
      <w:r>
        <w:t xml:space="preserve">) </w:t>
      </w:r>
      <w:r w:rsidRPr="00D71CCD">
        <w:rPr>
          <w:highlight w:val="yellow"/>
        </w:rPr>
        <w:t>согласовать с руководством вопрос о том, чтобы аудитор своевременно и, если возможно, до даты аудиторского заключения получил окончательный вариант документа или документов, входящих в состав годового отчета;</w:t>
      </w:r>
    </w:p>
    <w:p w:rsidR="00B83BE8" w:rsidRDefault="00B83BE8" w:rsidP="00B83BE8">
      <w:pPr>
        <w:pStyle w:val="ConsPlusNormal"/>
        <w:spacing w:before="240"/>
        <w:ind w:firstLine="540"/>
        <w:jc w:val="both"/>
      </w:pPr>
      <w:bookmarkStart w:id="4" w:name="Par54"/>
      <w:bookmarkEnd w:id="4"/>
      <w:proofErr w:type="gramStart"/>
      <w:r>
        <w:t>(</w:t>
      </w:r>
      <w:proofErr w:type="spellStart"/>
      <w:r>
        <w:t>c</w:t>
      </w:r>
      <w:proofErr w:type="spellEnd"/>
      <w:r>
        <w:t xml:space="preserve">) если некоторые или все документы, определенные в </w:t>
      </w:r>
      <w:hyperlink w:anchor="Par52" w:tooltip="(a) определить путем обсуждения с руководством, какой документ или совокупность документов входят в состав годового отчета, а также способ и сроки выпуска такого документа или таких документов, планируемые организацией;" w:history="1">
        <w:r>
          <w:rPr>
            <w:color w:val="0000FF"/>
          </w:rPr>
          <w:t>пункте (</w:t>
        </w:r>
        <w:proofErr w:type="spellStart"/>
        <w:r>
          <w:rPr>
            <w:color w:val="0000FF"/>
          </w:rPr>
          <w:t>a</w:t>
        </w:r>
        <w:proofErr w:type="spellEnd"/>
        <w:r>
          <w:rPr>
            <w:color w:val="0000FF"/>
          </w:rPr>
          <w:t>)</w:t>
        </w:r>
      </w:hyperlink>
      <w:r>
        <w:t xml:space="preserve">, не могут быть получены до даты аудиторского заключения, </w:t>
      </w:r>
      <w:r w:rsidRPr="00D34B46">
        <w:rPr>
          <w:b/>
          <w:color w:val="FF0000"/>
        </w:rPr>
        <w:t>запросить у руководства письменное заявление</w:t>
      </w:r>
      <w:r>
        <w:t xml:space="preserve">, подтверждающее, что окончательный вариант документа или документов будет предоставлен аудитору, когда он будет готов, но до его выпуска организацией, чтобы аудитор мог завершить процедуры в соответствии с требованиями настоящего стандарта (см. </w:t>
      </w:r>
      <w:hyperlink w:anchor="Par176" w:tooltip="A22. МСА 580 &lt;8&gt; устанавливает требования и содержит указания в отношении использования письменных заявлений. Письменные заявления, которые должны быть запрошены в соответствии с пунктом 13(c) в отношении прочей информации, которая будет доступна только после даты аудиторского заключения, предназначены для того, чтобы аудитор мог провести процедуры в отношении такой информации, необходимые в соответствии с настоящим стандартом. Кроме того, аудитор может счесть целесообразным запросить другие письменные з..." w:history="1">
        <w:r>
          <w:rPr>
            <w:color w:val="0000FF"/>
          </w:rPr>
          <w:t>пункт A22</w:t>
        </w:r>
      </w:hyperlink>
      <w:r>
        <w:t>).</w:t>
      </w:r>
      <w:proofErr w:type="gramEnd"/>
    </w:p>
    <w:p w:rsidR="00B83BE8" w:rsidRDefault="00B83BE8" w:rsidP="00B83BE8">
      <w:pPr>
        <w:pStyle w:val="ConsPlusNormal"/>
        <w:ind w:firstLine="540"/>
        <w:jc w:val="both"/>
      </w:pPr>
    </w:p>
    <w:p w:rsidR="00B83BE8" w:rsidRDefault="00B83BE8" w:rsidP="00B83BE8">
      <w:pPr>
        <w:pStyle w:val="ConsPlusTitle"/>
        <w:ind w:firstLine="540"/>
        <w:jc w:val="both"/>
        <w:outlineLvl w:val="2"/>
      </w:pPr>
      <w:r>
        <w:t>Ознакомление с прочей информацией и ее рассмотрение</w:t>
      </w:r>
    </w:p>
    <w:p w:rsidR="00B83BE8" w:rsidRDefault="00B83BE8" w:rsidP="00B83BE8">
      <w:pPr>
        <w:pStyle w:val="ConsPlusNormal"/>
        <w:spacing w:before="240"/>
        <w:ind w:firstLine="540"/>
        <w:jc w:val="both"/>
      </w:pPr>
      <w:bookmarkStart w:id="5" w:name="Par57"/>
      <w:bookmarkEnd w:id="5"/>
      <w:r>
        <w:t>14. Аудитор должен ознакомиться с прочей информацией и при этом (</w:t>
      </w:r>
      <w:proofErr w:type="gramStart"/>
      <w:r>
        <w:t>см</w:t>
      </w:r>
      <w:proofErr w:type="gramEnd"/>
      <w:r>
        <w:t xml:space="preserve">. </w:t>
      </w:r>
      <w:hyperlink w:anchor="Par185" w:tooltip="A23. Согласно требованиям МСА 200 &lt;9&gt; аудитор должен планировать и проводить аудит с профессиональным скептицизмом. Сохранение профессионального скептицизма при ознакомлении с прочей информацией и ее рассмотрении включает, например, признание того, что руководство может быть настроено чрезмерно оптимистично в отношении успешной реализации своих планов, а также предусматривает проявление повышенного внимания к информации, которая может не соответствовать:" w:history="1">
        <w:r>
          <w:rPr>
            <w:color w:val="0000FF"/>
          </w:rPr>
          <w:t>пункты A23</w:t>
        </w:r>
      </w:hyperlink>
      <w:r>
        <w:t xml:space="preserve"> - </w:t>
      </w:r>
      <w:hyperlink w:anchor="Par191" w:tooltip="A24. В соответствии с МСА 220 &lt;10&gt; руководитель задания должен нести ответственность за осуществление руководства, контроля и за выполнение аудиторского задания в соответствии с профессиональными стандартами и применимыми законодательными и нормативными требованиями. В контексте настоящего стандарта факторы, которые можно учитывать при определении надлежащего состава аудиторской группы с целью выполнения требований пунктов 14 - 15, включают:" w:history="1">
        <w:r>
          <w:rPr>
            <w:color w:val="0000FF"/>
          </w:rPr>
          <w:t>A24</w:t>
        </w:r>
      </w:hyperlink>
      <w:r>
        <w:t>):</w:t>
      </w:r>
    </w:p>
    <w:p w:rsidR="00B83BE8" w:rsidRDefault="00B83BE8" w:rsidP="00B83BE8">
      <w:pPr>
        <w:pStyle w:val="ConsPlusNormal"/>
        <w:spacing w:before="240"/>
        <w:ind w:firstLine="540"/>
        <w:jc w:val="both"/>
      </w:pPr>
      <w:bookmarkStart w:id="6" w:name="Par58"/>
      <w:bookmarkEnd w:id="6"/>
      <w:r>
        <w:t>(</w:t>
      </w:r>
      <w:proofErr w:type="spellStart"/>
      <w:r>
        <w:t>a</w:t>
      </w:r>
      <w:proofErr w:type="spellEnd"/>
      <w:r>
        <w:t xml:space="preserve">) </w:t>
      </w:r>
      <w:r w:rsidRPr="0045441A">
        <w:rPr>
          <w:highlight w:val="yellow"/>
        </w:rPr>
        <w:t>рассмотреть вопрос о том, имеет ли место существенное несоответствие между прочей информацией и финансовой отчетностью.</w:t>
      </w:r>
      <w:r>
        <w:t xml:space="preserve"> В качестве основы для этого аудитор должен сравнить (чтобы оценить их соответствие) выбранные числовые показатели или другие элементы в составе прочей информации (представляющие собой аналог, обобщение или детализацию числовых показателей или других элементов финансовой отчетности) с такими числовыми показателями и другими элементами финансовой отчетности (</w:t>
      </w:r>
      <w:proofErr w:type="gramStart"/>
      <w:r>
        <w:t>см</w:t>
      </w:r>
      <w:proofErr w:type="gramEnd"/>
      <w:r>
        <w:t xml:space="preserve">. </w:t>
      </w:r>
      <w:hyperlink w:anchor="Par201" w:tooltip="A25. Прочая информация может включать числовые показатели или другие элементы, представляющие собой аналог, обобщение или детализацию числовых показателей или других элементов финансовой отчетности. Примеры таких числовых показателей или других элементов могут включать:" w:history="1">
        <w:r>
          <w:rPr>
            <w:color w:val="0000FF"/>
          </w:rPr>
          <w:t>пункты A25</w:t>
        </w:r>
      </w:hyperlink>
      <w:r>
        <w:t xml:space="preserve"> - </w:t>
      </w:r>
      <w:hyperlink w:anchor="Par216" w:tooltip="A29. Оценка соответствия выбранных числовых показателей или других элементов, содержащихся в прочей информации, данным финансовой отчетности включает, когда это уместно с учетом характера прочей информации, порядок их представления по сравнению с финансовой отчетностью." w:history="1">
        <w:r>
          <w:rPr>
            <w:color w:val="0000FF"/>
          </w:rPr>
          <w:t>A29</w:t>
        </w:r>
      </w:hyperlink>
      <w:r>
        <w:t>);</w:t>
      </w:r>
    </w:p>
    <w:p w:rsidR="00B83BE8" w:rsidRDefault="00B83BE8" w:rsidP="00B83BE8">
      <w:pPr>
        <w:pStyle w:val="ConsPlusNormal"/>
        <w:spacing w:before="240"/>
        <w:ind w:firstLine="540"/>
        <w:jc w:val="both"/>
      </w:pPr>
      <w:bookmarkStart w:id="7" w:name="Par59"/>
      <w:bookmarkEnd w:id="7"/>
      <w:r>
        <w:t>(</w:t>
      </w:r>
      <w:proofErr w:type="spellStart"/>
      <w:r>
        <w:t>b</w:t>
      </w:r>
      <w:proofErr w:type="spellEnd"/>
      <w:r>
        <w:t xml:space="preserve">) </w:t>
      </w:r>
      <w:r w:rsidRPr="0045441A">
        <w:rPr>
          <w:highlight w:val="yellow"/>
        </w:rPr>
        <w:t>рассмотреть вопрос о том, имеет ли место существенное несоответствие между прочей информацией и знаниями, полученными аудитором в ходе аудита,</w:t>
      </w:r>
      <w:r>
        <w:t xml:space="preserve"> в контексте полученных аудиторских доказательств и выводов, сделанных во время аудита</w:t>
      </w:r>
    </w:p>
    <w:p w:rsidR="00B83BE8" w:rsidRDefault="00B83BE8" w:rsidP="00B83BE8">
      <w:pPr>
        <w:pStyle w:val="ConsPlusNormal"/>
        <w:spacing w:before="240"/>
        <w:ind w:firstLine="540"/>
        <w:jc w:val="both"/>
      </w:pPr>
      <w:r>
        <w:t xml:space="preserve">21. Аудиторское заключение </w:t>
      </w:r>
      <w:r w:rsidRPr="004B29CC">
        <w:rPr>
          <w:b/>
          <w:color w:val="FF0000"/>
          <w:highlight w:val="yellow"/>
        </w:rPr>
        <w:t>должно</w:t>
      </w:r>
      <w:r>
        <w:t xml:space="preserve"> включать отдельный раздел, озаглавленный "Прочая информация" или имеющий иное надлежащее название, если на дату аудиторского заключения:</w:t>
      </w:r>
    </w:p>
    <w:p w:rsidR="00B83BE8" w:rsidRPr="00AC0079" w:rsidRDefault="00B83BE8" w:rsidP="00B83BE8">
      <w:pPr>
        <w:pStyle w:val="ConsPlusNormal"/>
        <w:spacing w:before="240"/>
        <w:ind w:firstLine="540"/>
        <w:jc w:val="both"/>
        <w:rPr>
          <w:highlight w:val="yellow"/>
        </w:rPr>
      </w:pPr>
      <w:r w:rsidRPr="00AC0079">
        <w:rPr>
          <w:highlight w:val="yellow"/>
        </w:rPr>
        <w:t>(</w:t>
      </w:r>
      <w:proofErr w:type="spellStart"/>
      <w:r w:rsidRPr="00AC0079">
        <w:rPr>
          <w:highlight w:val="yellow"/>
        </w:rPr>
        <w:t>a</w:t>
      </w:r>
      <w:proofErr w:type="spellEnd"/>
      <w:r w:rsidRPr="00AC0079">
        <w:rPr>
          <w:highlight w:val="yellow"/>
        </w:rPr>
        <w:t xml:space="preserve">) в случае аудита финансовой отчетности организации, ценные бумаги которой </w:t>
      </w:r>
      <w:r w:rsidRPr="00AC0079">
        <w:rPr>
          <w:highlight w:val="yellow"/>
        </w:rPr>
        <w:lastRenderedPageBreak/>
        <w:t>допущены к организованным торгам, аудитор получил или предполагает получить прочую информацию или</w:t>
      </w:r>
    </w:p>
    <w:p w:rsidR="00B83BE8" w:rsidRDefault="00B83BE8" w:rsidP="00B83BE8">
      <w:pPr>
        <w:pStyle w:val="ConsPlusNormal"/>
        <w:spacing w:before="240"/>
        <w:ind w:firstLine="540"/>
        <w:jc w:val="both"/>
      </w:pPr>
      <w:r w:rsidRPr="00AC0079">
        <w:rPr>
          <w:highlight w:val="yellow"/>
        </w:rPr>
        <w:t>(</w:t>
      </w:r>
      <w:proofErr w:type="spellStart"/>
      <w:r w:rsidRPr="00AC0079">
        <w:rPr>
          <w:highlight w:val="yellow"/>
        </w:rPr>
        <w:t>b</w:t>
      </w:r>
      <w:proofErr w:type="spellEnd"/>
      <w:r w:rsidRPr="00AC0079">
        <w:rPr>
          <w:highlight w:val="yellow"/>
        </w:rPr>
        <w:t>) в случае аудита финансовой отчетности организации, не являющейся организацией, ценные бумаги которой допущены к организованным торгам, аудитор получил часть прочей информации или всю прочую информацию</w:t>
      </w:r>
    </w:p>
    <w:p w:rsidR="005D2E0A" w:rsidRDefault="005D2E0A">
      <w:pPr>
        <w:pBdr>
          <w:top w:val="none" w:sz="4" w:space="0" w:color="000000"/>
          <w:left w:val="none" w:sz="4" w:space="0" w:color="000000"/>
          <w:bottom w:val="none" w:sz="4" w:space="0" w:color="000000"/>
          <w:right w:val="none" w:sz="4" w:space="0" w:color="000000"/>
        </w:pBdr>
        <w:spacing w:after="0"/>
        <w:ind w:firstLine="708"/>
        <w:jc w:val="both"/>
        <w:rPr>
          <w:sz w:val="36"/>
          <w:szCs w:val="36"/>
        </w:rPr>
      </w:pPr>
    </w:p>
    <w:p w:rsidR="00B83BE8" w:rsidRDefault="00B83BE8" w:rsidP="00B83BE8">
      <w:pPr>
        <w:pStyle w:val="ConsPlusTitle"/>
        <w:ind w:firstLine="540"/>
        <w:jc w:val="both"/>
        <w:outlineLvl w:val="2"/>
      </w:pPr>
      <w:r>
        <w:t>Документация</w:t>
      </w:r>
    </w:p>
    <w:p w:rsidR="00B83BE8" w:rsidRDefault="00B83BE8" w:rsidP="00B83BE8">
      <w:pPr>
        <w:pStyle w:val="ConsPlusNormal"/>
        <w:spacing w:before="240"/>
        <w:ind w:firstLine="540"/>
        <w:jc w:val="both"/>
      </w:pPr>
      <w:r w:rsidRPr="007D4B38">
        <w:rPr>
          <w:highlight w:val="yellow"/>
        </w:rPr>
        <w:t xml:space="preserve">25. Для выполнения требований МСА 230 &lt;4&gt; применительно к настоящему стандарту аудитор </w:t>
      </w:r>
      <w:r w:rsidRPr="009A6DD0">
        <w:rPr>
          <w:b/>
          <w:color w:val="FF0000"/>
          <w:highlight w:val="yellow"/>
        </w:rPr>
        <w:t>обязан</w:t>
      </w:r>
      <w:r w:rsidRPr="007D4B38">
        <w:rPr>
          <w:highlight w:val="yellow"/>
        </w:rPr>
        <w:t xml:space="preserve"> включить в аудиторскую документацию следующее:</w:t>
      </w:r>
    </w:p>
    <w:p w:rsidR="00B83BE8" w:rsidRDefault="00B83BE8" w:rsidP="00B83BE8">
      <w:pPr>
        <w:pStyle w:val="ConsPlusNormal"/>
        <w:spacing w:before="240"/>
        <w:ind w:firstLine="540"/>
        <w:jc w:val="both"/>
      </w:pPr>
      <w:r>
        <w:t>--------------------------------</w:t>
      </w:r>
    </w:p>
    <w:p w:rsidR="00B83BE8" w:rsidRDefault="00B83BE8" w:rsidP="00B83BE8">
      <w:pPr>
        <w:pStyle w:val="ConsPlusNormal"/>
        <w:spacing w:before="240"/>
        <w:ind w:firstLine="540"/>
        <w:jc w:val="both"/>
      </w:pPr>
      <w:r>
        <w:t>&lt;4&gt; МСА 230 "Аудиторская документация", пункты 8 - 11.</w:t>
      </w:r>
    </w:p>
    <w:p w:rsidR="00B83BE8" w:rsidRDefault="00B83BE8" w:rsidP="00B83BE8">
      <w:pPr>
        <w:pStyle w:val="ConsPlusNormal"/>
        <w:ind w:firstLine="540"/>
        <w:jc w:val="both"/>
      </w:pPr>
    </w:p>
    <w:p w:rsidR="00B83BE8" w:rsidRDefault="00B83BE8" w:rsidP="00B83BE8">
      <w:pPr>
        <w:pStyle w:val="ConsPlusNormal"/>
        <w:ind w:firstLine="540"/>
        <w:jc w:val="both"/>
      </w:pPr>
      <w:r w:rsidRPr="007D4B38">
        <w:rPr>
          <w:highlight w:val="yellow"/>
        </w:rPr>
        <w:t>(</w:t>
      </w:r>
      <w:proofErr w:type="spellStart"/>
      <w:r w:rsidRPr="007D4B38">
        <w:rPr>
          <w:highlight w:val="yellow"/>
        </w:rPr>
        <w:t>a</w:t>
      </w:r>
      <w:proofErr w:type="spellEnd"/>
      <w:r w:rsidRPr="007D4B38">
        <w:rPr>
          <w:highlight w:val="yellow"/>
        </w:rPr>
        <w:t>) документацию по процедурам, проведенным в соответствии с настоящим стандартом;</w:t>
      </w:r>
    </w:p>
    <w:p w:rsidR="00B83BE8" w:rsidRDefault="00B83BE8" w:rsidP="00B83BE8">
      <w:pPr>
        <w:pStyle w:val="ConsPlusNormal"/>
        <w:spacing w:before="240"/>
        <w:ind w:firstLine="540"/>
        <w:jc w:val="both"/>
      </w:pPr>
      <w:r w:rsidRPr="007D4B38">
        <w:rPr>
          <w:highlight w:val="yellow"/>
        </w:rPr>
        <w:t>(</w:t>
      </w:r>
      <w:proofErr w:type="spellStart"/>
      <w:r w:rsidRPr="007D4B38">
        <w:rPr>
          <w:highlight w:val="yellow"/>
        </w:rPr>
        <w:t>b</w:t>
      </w:r>
      <w:proofErr w:type="spellEnd"/>
      <w:r w:rsidRPr="007D4B38">
        <w:rPr>
          <w:highlight w:val="yellow"/>
        </w:rPr>
        <w:t>) окончательный вариант прочей информации, в отношении которой аудитор выполнил работу в соответствии с требованиями настоящего стандарта.</w:t>
      </w:r>
    </w:p>
    <w:p w:rsidR="00B83BE8" w:rsidRDefault="00B83BE8">
      <w:pPr>
        <w:pBdr>
          <w:top w:val="none" w:sz="4" w:space="0" w:color="000000"/>
          <w:left w:val="none" w:sz="4" w:space="0" w:color="000000"/>
          <w:bottom w:val="none" w:sz="4" w:space="0" w:color="000000"/>
          <w:right w:val="none" w:sz="4" w:space="0" w:color="000000"/>
        </w:pBdr>
        <w:spacing w:after="0"/>
        <w:ind w:firstLine="708"/>
        <w:jc w:val="both"/>
        <w:rPr>
          <w:sz w:val="36"/>
          <w:szCs w:val="36"/>
        </w:rPr>
      </w:pPr>
    </w:p>
    <w:p w:rsidR="00B83BE8" w:rsidRDefault="00B83BE8">
      <w:pPr>
        <w:pBdr>
          <w:top w:val="none" w:sz="4" w:space="0" w:color="000000"/>
          <w:left w:val="none" w:sz="4" w:space="0" w:color="000000"/>
          <w:bottom w:val="none" w:sz="4" w:space="0" w:color="000000"/>
          <w:right w:val="none" w:sz="4" w:space="0" w:color="000000"/>
        </w:pBdr>
        <w:spacing w:after="0"/>
        <w:ind w:firstLine="708"/>
        <w:jc w:val="both"/>
        <w:rPr>
          <w:sz w:val="36"/>
          <w:szCs w:val="36"/>
        </w:rPr>
      </w:pPr>
    </w:p>
    <w:p w:rsidR="00B83BE8" w:rsidRDefault="00B83BE8" w:rsidP="00B83BE8">
      <w:pPr>
        <w:pStyle w:val="ConsPlusTitle"/>
        <w:ind w:firstLine="540"/>
        <w:jc w:val="both"/>
        <w:outlineLvl w:val="4"/>
      </w:pPr>
      <w:r>
        <w:t>Процедуры, проводимые в случае, когда аудитор приходит к выводу о наличии существенного искажения прочей информации, полученной после даты аудиторского заключения (</w:t>
      </w:r>
      <w:proofErr w:type="gramStart"/>
      <w:r>
        <w:t>см</w:t>
      </w:r>
      <w:proofErr w:type="gramEnd"/>
      <w:r>
        <w:t xml:space="preserve">. </w:t>
      </w:r>
      <w:hyperlink w:anchor="Par75" w:tooltip="19. Если аудитор приходит к выводу о наличии существенного искажения в прочей информации, полученной после даты аудиторского заключения, он должен:" w:history="1">
        <w:r>
          <w:rPr>
            <w:color w:val="0000FF"/>
          </w:rPr>
          <w:t>пункт 19</w:t>
        </w:r>
      </w:hyperlink>
      <w:r>
        <w:t>)</w:t>
      </w:r>
    </w:p>
    <w:p w:rsidR="00B83BE8" w:rsidRDefault="00B83BE8" w:rsidP="00B83BE8">
      <w:pPr>
        <w:pStyle w:val="ConsPlusNormal"/>
        <w:spacing w:before="240"/>
        <w:ind w:firstLine="540"/>
        <w:jc w:val="both"/>
      </w:pPr>
      <w:bookmarkStart w:id="8" w:name="Par275"/>
      <w:bookmarkEnd w:id="8"/>
      <w:r w:rsidRPr="000562C2">
        <w:rPr>
          <w:highlight w:val="yellow"/>
        </w:rPr>
        <w:t xml:space="preserve">A48. </w:t>
      </w:r>
      <w:proofErr w:type="gramStart"/>
      <w:r w:rsidRPr="000562C2">
        <w:rPr>
          <w:highlight w:val="yellow"/>
        </w:rPr>
        <w:t xml:space="preserve">Если аудитор приходит к выводу о том, что прочая информация, полученная после даты аудиторского заключения, содержит существенное искажение, и если такое существенное искажение было исправлено, процедуры аудитора, необходимые в данных обстоятельствах, включают определение того, что исправление было внесено (согласно </w:t>
      </w:r>
      <w:hyperlink w:anchor="Par70" w:tooltip="(a) соглашается внести исправление, аудитор должен установить, что исправление было внесено;" w:history="1">
        <w:r w:rsidRPr="000562C2">
          <w:rPr>
            <w:color w:val="0000FF"/>
            <w:highlight w:val="yellow"/>
          </w:rPr>
          <w:t>пункту 17(</w:t>
        </w:r>
        <w:proofErr w:type="spellStart"/>
        <w:r w:rsidRPr="000562C2">
          <w:rPr>
            <w:color w:val="0000FF"/>
            <w:highlight w:val="yellow"/>
          </w:rPr>
          <w:t>a</w:t>
        </w:r>
        <w:proofErr w:type="spellEnd"/>
        <w:r w:rsidRPr="000562C2">
          <w:rPr>
            <w:color w:val="0000FF"/>
            <w:highlight w:val="yellow"/>
          </w:rPr>
          <w:t>)</w:t>
        </w:r>
      </w:hyperlink>
      <w:r w:rsidRPr="000562C2">
        <w:rPr>
          <w:highlight w:val="yellow"/>
        </w:rPr>
        <w:t>), и могут включать анализ действий, предпринятых руководством по информированию тех, кто получил прочую информацию, если она была предоставлена</w:t>
      </w:r>
      <w:proofErr w:type="gramEnd"/>
      <w:r w:rsidRPr="000562C2">
        <w:rPr>
          <w:highlight w:val="yellow"/>
        </w:rPr>
        <w:t xml:space="preserve"> ранее, о ее пересмотре.</w:t>
      </w:r>
    </w:p>
    <w:p w:rsidR="00B83BE8" w:rsidRDefault="00B83BE8" w:rsidP="00B83BE8">
      <w:pPr>
        <w:pStyle w:val="ConsPlusNormal"/>
        <w:spacing w:before="240"/>
        <w:ind w:firstLine="540"/>
        <w:jc w:val="both"/>
      </w:pPr>
      <w:bookmarkStart w:id="9" w:name="Par276"/>
      <w:bookmarkEnd w:id="9"/>
      <w:r>
        <w:t xml:space="preserve">A49. Если лица, отвечающие за корпоративное управление, не соглашаются пересмотреть прочую информацию, принятие надлежащих мер для того, чтобы должным образом привлечь внимание пользователей, для которых подготовлено аудиторское заключение, к неисправленному искажению, требует применения профессионального суждения и может регулироваться соответствующим законом или нормативным актом конкретной юрисдикции. Следовательно, аудитор может </w:t>
      </w:r>
      <w:proofErr w:type="gramStart"/>
      <w:r>
        <w:t>счесть целесообразным прибегнуть</w:t>
      </w:r>
      <w:proofErr w:type="gramEnd"/>
      <w:r>
        <w:t xml:space="preserve"> к услугам юриста, чтобы обсудить свои законные права и обязанности.</w:t>
      </w:r>
    </w:p>
    <w:p w:rsidR="00B83BE8" w:rsidRDefault="00B83BE8" w:rsidP="00B83BE8">
      <w:pPr>
        <w:pStyle w:val="ConsPlusNormal"/>
        <w:spacing w:before="240"/>
        <w:ind w:firstLine="540"/>
        <w:jc w:val="both"/>
      </w:pPr>
      <w:bookmarkStart w:id="10" w:name="Par277"/>
      <w:bookmarkEnd w:id="10"/>
      <w:r>
        <w:t>A50. Если существенное искажение прочей информации остается неисправленным, надлежащие меры, которые аудитор может принять для того, чтобы должным образом привлечь внимание пользователей, для которых подготовлено аудиторское заключение, к неисправленному существенному искажению, если это не запрещено законом или нормативным актом, включают, например, следующее:</w:t>
      </w:r>
    </w:p>
    <w:p w:rsidR="00B83BE8" w:rsidRDefault="00B83BE8" w:rsidP="00B83BE8">
      <w:pPr>
        <w:pStyle w:val="ConsPlusNormal"/>
        <w:spacing w:before="240"/>
        <w:ind w:firstLine="540"/>
        <w:jc w:val="both"/>
      </w:pPr>
      <w:r>
        <w:t xml:space="preserve">- предоставление </w:t>
      </w:r>
      <w:r w:rsidRPr="00541597">
        <w:rPr>
          <w:highlight w:val="yellow"/>
        </w:rPr>
        <w:t xml:space="preserve">нового или скорректированного аудиторского заключения руководству, включая измененный раздел согласно </w:t>
      </w:r>
      <w:hyperlink w:anchor="Par86" w:tooltip="22. Когда включение раздела &quot;Прочая информация&quot; в аудиторское заключение необходимо в соответствии с пунктом 21, этот раздел должен содержать (см. пункт A53):" w:history="1">
        <w:r w:rsidRPr="00541597">
          <w:rPr>
            <w:color w:val="0000FF"/>
            <w:highlight w:val="yellow"/>
          </w:rPr>
          <w:t>пункту 22</w:t>
        </w:r>
      </w:hyperlink>
      <w:r w:rsidRPr="00541597">
        <w:rPr>
          <w:highlight w:val="yellow"/>
        </w:rPr>
        <w:t>,</w:t>
      </w:r>
      <w:r>
        <w:t xml:space="preserve"> и указание руководству на </w:t>
      </w:r>
      <w:r>
        <w:lastRenderedPageBreak/>
        <w:t>необходимость предоставить это новое или скорректированное аудиторское заключение пользователям, для которых подготовлено аудиторское заключение. При этом аудитору, возможно, необходимо будет рассмотреть влияние, если оно имеется, требований Международных стандартов аудита или применимого закона или нормативного акта на дату нового или скорректированного аудиторского заключения. Аудитор может также проверить, какие действия были предприняты руководством для предоставления нового или скорректированного аудиторского заключения таким пользователям;</w:t>
      </w:r>
    </w:p>
    <w:p w:rsidR="00B83BE8" w:rsidRDefault="00B83BE8" w:rsidP="00B83BE8">
      <w:pPr>
        <w:pStyle w:val="ConsPlusNormal"/>
        <w:spacing w:before="240"/>
        <w:ind w:firstLine="540"/>
        <w:jc w:val="both"/>
      </w:pPr>
      <w:r>
        <w:t>- привлечение внимания пользователей, для которых подготовлено аудиторское заключение, к существенному искажению прочей информации, например, путем рассмотрения вопроса на общем собрании акционеров;</w:t>
      </w:r>
    </w:p>
    <w:p w:rsidR="00B83BE8" w:rsidRDefault="00B83BE8" w:rsidP="00B83BE8">
      <w:pPr>
        <w:pStyle w:val="ConsPlusNormal"/>
        <w:spacing w:before="240"/>
        <w:ind w:firstLine="540"/>
        <w:jc w:val="both"/>
      </w:pPr>
      <w:r>
        <w:t>- информирование регулирующего или соответствующего профессионального органа о неисправленном существенном искажении или</w:t>
      </w:r>
    </w:p>
    <w:p w:rsidR="00B83BE8" w:rsidRDefault="00B83BE8" w:rsidP="00B83BE8">
      <w:pPr>
        <w:pStyle w:val="ConsPlusNormal"/>
        <w:spacing w:before="240"/>
        <w:ind w:firstLine="540"/>
        <w:jc w:val="both"/>
      </w:pPr>
      <w:r>
        <w:t>- рассмотрение последствий для продолжения выполнения задания (</w:t>
      </w:r>
      <w:proofErr w:type="gramStart"/>
      <w:r>
        <w:t>см</w:t>
      </w:r>
      <w:proofErr w:type="gramEnd"/>
      <w:r>
        <w:t xml:space="preserve">. также </w:t>
      </w:r>
      <w:hyperlink w:anchor="Par269" w:tooltip="A46. Отказ от задания, если он возможен согласно применимым законам или нормативным актам, может быть целесообразен, когда обстоятельства, связанные с отказом исправить существенное искажение в прочей информации, вызывают серьезное сомнение в честности руководства и лиц, отвечающих за корпоративное управление, что ставит под вопрос надежность заявлений, полученных от них в ходе аудита." w:history="1">
        <w:r>
          <w:rPr>
            <w:color w:val="0000FF"/>
          </w:rPr>
          <w:t>пункт A46</w:t>
        </w:r>
      </w:hyperlink>
      <w:r>
        <w:t>).</w:t>
      </w:r>
    </w:p>
    <w:p w:rsidR="00B83BE8" w:rsidRDefault="00B83BE8">
      <w:pPr>
        <w:pBdr>
          <w:top w:val="none" w:sz="4" w:space="0" w:color="000000"/>
          <w:left w:val="none" w:sz="4" w:space="0" w:color="000000"/>
          <w:bottom w:val="none" w:sz="4" w:space="0" w:color="000000"/>
          <w:right w:val="none" w:sz="4" w:space="0" w:color="000000"/>
        </w:pBdr>
        <w:spacing w:after="0"/>
        <w:ind w:firstLine="708"/>
        <w:jc w:val="both"/>
        <w:rPr>
          <w:sz w:val="36"/>
          <w:szCs w:val="36"/>
        </w:rPr>
      </w:pPr>
    </w:p>
    <w:sectPr w:rsidR="00B83BE8" w:rsidSect="008168C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AFB" w:rsidRDefault="00BF6AFB">
      <w:pPr>
        <w:spacing w:after="0" w:line="240" w:lineRule="auto"/>
      </w:pPr>
      <w:r>
        <w:separator/>
      </w:r>
    </w:p>
  </w:endnote>
  <w:endnote w:type="continuationSeparator" w:id="0">
    <w:p w:rsidR="00BF6AFB" w:rsidRDefault="00BF6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AFB" w:rsidRDefault="00BF6AFB">
      <w:pPr>
        <w:spacing w:after="0" w:line="240" w:lineRule="auto"/>
      </w:pPr>
      <w:r>
        <w:separator/>
      </w:r>
    </w:p>
  </w:footnote>
  <w:footnote w:type="continuationSeparator" w:id="0">
    <w:p w:rsidR="00BF6AFB" w:rsidRDefault="00BF6A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8168C4"/>
    <w:rsid w:val="0007796D"/>
    <w:rsid w:val="005D2E0A"/>
    <w:rsid w:val="008168C4"/>
    <w:rsid w:val="00B83BE8"/>
    <w:rsid w:val="00BF6AFB"/>
    <w:rsid w:val="00D30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C4"/>
    <w:rPr>
      <w:rFonts w:ascii="Liberation Sans" w:eastAsia="Liberation Sans" w:hAnsi="Liberation Sans" w:cs="Liberation San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8168C4"/>
    <w:pPr>
      <w:keepNext/>
      <w:keepLines/>
      <w:spacing w:before="480"/>
      <w:outlineLvl w:val="0"/>
    </w:pPr>
    <w:rPr>
      <w:sz w:val="40"/>
      <w:szCs w:val="40"/>
    </w:rPr>
  </w:style>
  <w:style w:type="character" w:customStyle="1" w:styleId="Heading1Char">
    <w:name w:val="Heading 1 Char"/>
    <w:link w:val="Heading1"/>
    <w:uiPriority w:val="9"/>
    <w:rsid w:val="008168C4"/>
    <w:rPr>
      <w:rFonts w:ascii="Liberation Sans" w:eastAsia="Liberation Sans" w:hAnsi="Liberation Sans" w:cs="Liberation Sans"/>
    </w:rPr>
  </w:style>
  <w:style w:type="paragraph" w:customStyle="1" w:styleId="Heading2">
    <w:name w:val="Heading 2"/>
    <w:basedOn w:val="Heading1"/>
    <w:next w:val="a"/>
    <w:link w:val="Heading2Char"/>
    <w:uiPriority w:val="9"/>
    <w:unhideWhenUsed/>
    <w:qFormat/>
    <w:rsid w:val="008168C4"/>
  </w:style>
  <w:style w:type="character" w:customStyle="1" w:styleId="Heading2Char">
    <w:name w:val="Heading 2 Char"/>
    <w:link w:val="Heading2"/>
    <w:uiPriority w:val="9"/>
    <w:rsid w:val="008168C4"/>
    <w:rPr>
      <w:rFonts w:ascii="Liberation Sans" w:eastAsia="Liberation Sans" w:hAnsi="Liberation Sans" w:cs="Liberation Sans"/>
      <w:sz w:val="34"/>
    </w:rPr>
  </w:style>
  <w:style w:type="paragraph" w:customStyle="1" w:styleId="Heading3">
    <w:name w:val="Heading 3"/>
    <w:basedOn w:val="a"/>
    <w:next w:val="a"/>
    <w:link w:val="Heading3Char"/>
    <w:uiPriority w:val="9"/>
    <w:unhideWhenUsed/>
    <w:qFormat/>
    <w:rsid w:val="008168C4"/>
    <w:pPr>
      <w:keepNext/>
      <w:keepLines/>
      <w:spacing w:before="320"/>
      <w:outlineLvl w:val="2"/>
    </w:pPr>
    <w:rPr>
      <w:rFonts w:eastAsia="Arial"/>
      <w:sz w:val="30"/>
      <w:szCs w:val="30"/>
    </w:rPr>
  </w:style>
  <w:style w:type="character" w:customStyle="1" w:styleId="Heading3Char">
    <w:name w:val="Heading 3 Char"/>
    <w:link w:val="Heading3"/>
    <w:uiPriority w:val="9"/>
    <w:rsid w:val="008168C4"/>
    <w:rPr>
      <w:rFonts w:ascii="Liberation Sans" w:hAnsi="Liberation Sans" w:cs="Liberation Sans"/>
    </w:rPr>
  </w:style>
  <w:style w:type="paragraph" w:customStyle="1" w:styleId="Heading4">
    <w:name w:val="Heading 4"/>
    <w:basedOn w:val="a"/>
    <w:next w:val="a"/>
    <w:link w:val="Heading4Char"/>
    <w:uiPriority w:val="9"/>
    <w:unhideWhenUsed/>
    <w:qFormat/>
    <w:rsid w:val="008168C4"/>
    <w:pPr>
      <w:keepNext/>
      <w:keepLines/>
      <w:spacing w:before="320"/>
      <w:outlineLvl w:val="3"/>
    </w:pPr>
    <w:rPr>
      <w:b/>
      <w:bCs/>
      <w:sz w:val="26"/>
      <w:szCs w:val="26"/>
    </w:rPr>
  </w:style>
  <w:style w:type="character" w:customStyle="1" w:styleId="Heading4Char">
    <w:name w:val="Heading 4 Char"/>
    <w:link w:val="Heading4"/>
    <w:uiPriority w:val="9"/>
    <w:rsid w:val="008168C4"/>
    <w:rPr>
      <w:rFonts w:ascii="Liberation Sans" w:eastAsia="Liberation Sans" w:hAnsi="Liberation Sans" w:cs="Liberation Sans"/>
    </w:rPr>
  </w:style>
  <w:style w:type="paragraph" w:customStyle="1" w:styleId="Heading5">
    <w:name w:val="Heading 5"/>
    <w:basedOn w:val="a"/>
    <w:next w:val="a"/>
    <w:link w:val="Heading5Char"/>
    <w:uiPriority w:val="9"/>
    <w:unhideWhenUsed/>
    <w:qFormat/>
    <w:rsid w:val="008168C4"/>
    <w:pPr>
      <w:keepNext/>
      <w:keepLines/>
      <w:spacing w:before="320"/>
      <w:outlineLvl w:val="4"/>
    </w:pPr>
    <w:rPr>
      <w:b/>
      <w:bCs/>
      <w:sz w:val="24"/>
      <w:szCs w:val="24"/>
    </w:rPr>
  </w:style>
  <w:style w:type="character" w:customStyle="1" w:styleId="Heading5Char">
    <w:name w:val="Heading 5 Char"/>
    <w:link w:val="Heading5"/>
    <w:uiPriority w:val="9"/>
    <w:rsid w:val="008168C4"/>
    <w:rPr>
      <w:rFonts w:ascii="Liberation Sans" w:eastAsia="Liberation Sans" w:hAnsi="Liberation Sans" w:cs="Liberation Sans"/>
    </w:rPr>
  </w:style>
  <w:style w:type="paragraph" w:customStyle="1" w:styleId="Heading6">
    <w:name w:val="Heading 6"/>
    <w:basedOn w:val="a"/>
    <w:next w:val="a"/>
    <w:link w:val="Heading6Char"/>
    <w:uiPriority w:val="9"/>
    <w:unhideWhenUsed/>
    <w:qFormat/>
    <w:rsid w:val="008168C4"/>
    <w:pPr>
      <w:keepNext/>
      <w:keepLines/>
      <w:spacing w:before="320"/>
      <w:outlineLvl w:val="5"/>
    </w:pPr>
    <w:rPr>
      <w:b/>
      <w:bCs/>
      <w:sz w:val="22"/>
      <w:szCs w:val="22"/>
    </w:rPr>
  </w:style>
  <w:style w:type="character" w:customStyle="1" w:styleId="Heading6Char">
    <w:name w:val="Heading 6 Char"/>
    <w:link w:val="Heading6"/>
    <w:uiPriority w:val="9"/>
    <w:rsid w:val="008168C4"/>
    <w:rPr>
      <w:rFonts w:ascii="Liberation Sans" w:eastAsia="Liberation Sans" w:hAnsi="Liberation Sans" w:cs="Liberation Sans"/>
    </w:rPr>
  </w:style>
  <w:style w:type="paragraph" w:customStyle="1" w:styleId="Heading7">
    <w:name w:val="Heading 7"/>
    <w:basedOn w:val="a"/>
    <w:next w:val="a"/>
    <w:link w:val="Heading7Char"/>
    <w:uiPriority w:val="9"/>
    <w:unhideWhenUsed/>
    <w:qFormat/>
    <w:rsid w:val="008168C4"/>
    <w:pPr>
      <w:keepNext/>
      <w:keepLines/>
      <w:spacing w:before="320"/>
      <w:outlineLvl w:val="6"/>
    </w:pPr>
    <w:rPr>
      <w:b/>
      <w:bCs/>
      <w:i/>
      <w:iCs/>
      <w:sz w:val="22"/>
      <w:szCs w:val="22"/>
    </w:rPr>
  </w:style>
  <w:style w:type="character" w:customStyle="1" w:styleId="Heading7Char">
    <w:name w:val="Heading 7 Char"/>
    <w:link w:val="Heading7"/>
    <w:uiPriority w:val="9"/>
    <w:rsid w:val="008168C4"/>
    <w:rPr>
      <w:rFonts w:ascii="Liberation Sans" w:eastAsia="Liberation Sans" w:hAnsi="Liberation Sans" w:cs="Liberation Sans"/>
    </w:rPr>
  </w:style>
  <w:style w:type="paragraph" w:customStyle="1" w:styleId="Heading8">
    <w:name w:val="Heading 8"/>
    <w:basedOn w:val="a"/>
    <w:next w:val="a"/>
    <w:link w:val="Heading8Char"/>
    <w:uiPriority w:val="9"/>
    <w:unhideWhenUsed/>
    <w:qFormat/>
    <w:rsid w:val="008168C4"/>
    <w:pPr>
      <w:keepNext/>
      <w:keepLines/>
      <w:spacing w:before="320"/>
      <w:outlineLvl w:val="7"/>
    </w:pPr>
    <w:rPr>
      <w:i/>
      <w:iCs/>
      <w:sz w:val="22"/>
      <w:szCs w:val="22"/>
    </w:rPr>
  </w:style>
  <w:style w:type="character" w:customStyle="1" w:styleId="Heading8Char">
    <w:name w:val="Heading 8 Char"/>
    <w:link w:val="Heading8"/>
    <w:uiPriority w:val="9"/>
    <w:rsid w:val="008168C4"/>
    <w:rPr>
      <w:rFonts w:ascii="Liberation Sans" w:eastAsia="Liberation Sans" w:hAnsi="Liberation Sans" w:cs="Liberation Sans"/>
    </w:rPr>
  </w:style>
  <w:style w:type="paragraph" w:customStyle="1" w:styleId="Heading9">
    <w:name w:val="Heading 9"/>
    <w:basedOn w:val="a"/>
    <w:next w:val="a"/>
    <w:link w:val="Heading9Char"/>
    <w:uiPriority w:val="9"/>
    <w:unhideWhenUsed/>
    <w:qFormat/>
    <w:rsid w:val="008168C4"/>
    <w:pPr>
      <w:keepNext/>
      <w:keepLines/>
      <w:spacing w:before="320"/>
      <w:outlineLvl w:val="8"/>
    </w:pPr>
    <w:rPr>
      <w:i/>
      <w:iCs/>
      <w:sz w:val="21"/>
      <w:szCs w:val="21"/>
    </w:rPr>
  </w:style>
  <w:style w:type="character" w:customStyle="1" w:styleId="Heading9Char">
    <w:name w:val="Heading 9 Char"/>
    <w:link w:val="Heading9"/>
    <w:uiPriority w:val="9"/>
    <w:rsid w:val="008168C4"/>
    <w:rPr>
      <w:rFonts w:ascii="Liberation Sans" w:eastAsia="Liberation Sans" w:hAnsi="Liberation Sans" w:cs="Liberation Sans"/>
    </w:rPr>
  </w:style>
  <w:style w:type="paragraph" w:styleId="a3">
    <w:name w:val="Title"/>
    <w:basedOn w:val="a"/>
    <w:next w:val="a"/>
    <w:link w:val="a4"/>
    <w:uiPriority w:val="10"/>
    <w:qFormat/>
    <w:rsid w:val="008168C4"/>
    <w:pPr>
      <w:spacing w:before="300"/>
      <w:contextualSpacing/>
    </w:pPr>
    <w:rPr>
      <w:sz w:val="48"/>
      <w:szCs w:val="48"/>
    </w:rPr>
  </w:style>
  <w:style w:type="character" w:customStyle="1" w:styleId="a4">
    <w:name w:val="Название Знак"/>
    <w:link w:val="a3"/>
    <w:uiPriority w:val="10"/>
    <w:rsid w:val="008168C4"/>
    <w:rPr>
      <w:sz w:val="48"/>
      <w:szCs w:val="48"/>
    </w:rPr>
  </w:style>
  <w:style w:type="paragraph" w:styleId="a5">
    <w:name w:val="Subtitle"/>
    <w:basedOn w:val="a"/>
    <w:next w:val="a"/>
    <w:link w:val="a6"/>
    <w:uiPriority w:val="11"/>
    <w:qFormat/>
    <w:rsid w:val="008168C4"/>
    <w:pPr>
      <w:spacing w:before="200"/>
    </w:pPr>
    <w:rPr>
      <w:sz w:val="24"/>
      <w:szCs w:val="24"/>
    </w:rPr>
  </w:style>
  <w:style w:type="character" w:customStyle="1" w:styleId="a6">
    <w:name w:val="Подзаголовок Знак"/>
    <w:link w:val="a5"/>
    <w:uiPriority w:val="11"/>
    <w:rsid w:val="008168C4"/>
    <w:rPr>
      <w:sz w:val="24"/>
      <w:szCs w:val="24"/>
    </w:rPr>
  </w:style>
  <w:style w:type="paragraph" w:styleId="2">
    <w:name w:val="Quote"/>
    <w:basedOn w:val="a"/>
    <w:next w:val="a"/>
    <w:link w:val="20"/>
    <w:uiPriority w:val="29"/>
    <w:qFormat/>
    <w:rsid w:val="008168C4"/>
    <w:pPr>
      <w:ind w:left="720" w:right="720"/>
    </w:pPr>
    <w:rPr>
      <w:i/>
    </w:rPr>
  </w:style>
  <w:style w:type="character" w:customStyle="1" w:styleId="20">
    <w:name w:val="Цитата 2 Знак"/>
    <w:link w:val="2"/>
    <w:uiPriority w:val="29"/>
    <w:rsid w:val="008168C4"/>
    <w:rPr>
      <w:i/>
    </w:rPr>
  </w:style>
  <w:style w:type="paragraph" w:styleId="a7">
    <w:name w:val="Intense Quote"/>
    <w:basedOn w:val="a"/>
    <w:next w:val="a"/>
    <w:link w:val="a8"/>
    <w:uiPriority w:val="30"/>
    <w:qFormat/>
    <w:rsid w:val="008168C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8168C4"/>
    <w:rPr>
      <w:i/>
    </w:rPr>
  </w:style>
  <w:style w:type="paragraph" w:customStyle="1" w:styleId="Header">
    <w:name w:val="Header"/>
    <w:basedOn w:val="a"/>
    <w:link w:val="HeaderChar"/>
    <w:uiPriority w:val="99"/>
    <w:unhideWhenUsed/>
    <w:rsid w:val="008168C4"/>
    <w:pPr>
      <w:tabs>
        <w:tab w:val="center" w:pos="7143"/>
        <w:tab w:val="right" w:pos="14287"/>
      </w:tabs>
      <w:spacing w:after="0" w:line="240" w:lineRule="auto"/>
    </w:pPr>
  </w:style>
  <w:style w:type="character" w:customStyle="1" w:styleId="HeaderChar">
    <w:name w:val="Header Char"/>
    <w:link w:val="Header"/>
    <w:uiPriority w:val="99"/>
    <w:rsid w:val="008168C4"/>
  </w:style>
  <w:style w:type="paragraph" w:customStyle="1" w:styleId="Footer">
    <w:name w:val="Footer"/>
    <w:basedOn w:val="a"/>
    <w:link w:val="CaptionChar"/>
    <w:uiPriority w:val="99"/>
    <w:unhideWhenUsed/>
    <w:rsid w:val="008168C4"/>
    <w:pPr>
      <w:tabs>
        <w:tab w:val="center" w:pos="7143"/>
        <w:tab w:val="right" w:pos="14287"/>
      </w:tabs>
      <w:spacing w:after="0" w:line="240" w:lineRule="auto"/>
    </w:pPr>
  </w:style>
  <w:style w:type="character" w:customStyle="1" w:styleId="FooterChar">
    <w:name w:val="Footer Char"/>
    <w:link w:val="Footer"/>
    <w:uiPriority w:val="99"/>
    <w:rsid w:val="008168C4"/>
  </w:style>
  <w:style w:type="paragraph" w:customStyle="1" w:styleId="Caption">
    <w:name w:val="Caption"/>
    <w:basedOn w:val="a"/>
    <w:next w:val="a"/>
    <w:uiPriority w:val="35"/>
    <w:semiHidden/>
    <w:unhideWhenUsed/>
    <w:qFormat/>
    <w:rsid w:val="008168C4"/>
    <w:rPr>
      <w:b/>
      <w:bCs/>
      <w:color w:val="5B9BD5" w:themeColor="accent1"/>
      <w:sz w:val="18"/>
      <w:szCs w:val="18"/>
    </w:rPr>
  </w:style>
  <w:style w:type="character" w:customStyle="1" w:styleId="CaptionChar">
    <w:name w:val="Caption Char"/>
    <w:link w:val="Footer"/>
    <w:uiPriority w:val="99"/>
    <w:rsid w:val="008168C4"/>
  </w:style>
  <w:style w:type="table" w:styleId="a9">
    <w:name w:val="Table Grid"/>
    <w:basedOn w:val="a1"/>
    <w:uiPriority w:val="59"/>
    <w:rsid w:val="008168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168C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168C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8168C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168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8168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8168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8168C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168C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168C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168C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168C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168C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168C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8168C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168C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8168C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8168C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8168C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8168C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8168C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8168C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168C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8168C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8168C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8168C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8168C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8168C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8168C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168C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8168C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8168C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8168C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8168C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8168C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8168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168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8168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8168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8168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8168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8168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8168C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168C4"/>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168C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168C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168C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168C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168C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8168C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168C4"/>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168C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168C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168C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168C4"/>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168C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8168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168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8168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8168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8168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8168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8168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8168C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168C4"/>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8168C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8168C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8168C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8168C4"/>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8168C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8168C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168C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168C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168C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168C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168C4"/>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168C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8168C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168C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8168C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8168C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8168C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8168C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8168C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8168C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168C4"/>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8168C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8168C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8168C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8168C4"/>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8168C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8168C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168C4"/>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168C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168C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168C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168C4"/>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168C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8168C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168C4"/>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168C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168C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168C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168C4"/>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168C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168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8168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8168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8168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8168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8168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8168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8168C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8168C4"/>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8168C4"/>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8168C4"/>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8168C4"/>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8168C4"/>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8168C4"/>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8168C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168C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168C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168C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168C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168C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168C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8168C4"/>
    <w:rPr>
      <w:color w:val="0563C1" w:themeColor="hyperlink"/>
      <w:u w:val="single"/>
    </w:rPr>
  </w:style>
  <w:style w:type="paragraph" w:styleId="ab">
    <w:name w:val="footnote text"/>
    <w:basedOn w:val="a"/>
    <w:link w:val="ac"/>
    <w:uiPriority w:val="99"/>
    <w:semiHidden/>
    <w:unhideWhenUsed/>
    <w:rsid w:val="008168C4"/>
    <w:pPr>
      <w:spacing w:after="40" w:line="240" w:lineRule="auto"/>
    </w:pPr>
    <w:rPr>
      <w:sz w:val="18"/>
    </w:rPr>
  </w:style>
  <w:style w:type="character" w:customStyle="1" w:styleId="ac">
    <w:name w:val="Текст сноски Знак"/>
    <w:link w:val="ab"/>
    <w:uiPriority w:val="99"/>
    <w:rsid w:val="008168C4"/>
    <w:rPr>
      <w:sz w:val="18"/>
    </w:rPr>
  </w:style>
  <w:style w:type="character" w:styleId="ad">
    <w:name w:val="footnote reference"/>
    <w:uiPriority w:val="99"/>
    <w:unhideWhenUsed/>
    <w:rsid w:val="008168C4"/>
    <w:rPr>
      <w:vertAlign w:val="superscript"/>
    </w:rPr>
  </w:style>
  <w:style w:type="paragraph" w:styleId="ae">
    <w:name w:val="endnote text"/>
    <w:basedOn w:val="a"/>
    <w:link w:val="af"/>
    <w:uiPriority w:val="99"/>
    <w:semiHidden/>
    <w:unhideWhenUsed/>
    <w:rsid w:val="008168C4"/>
    <w:pPr>
      <w:spacing w:after="0" w:line="240" w:lineRule="auto"/>
    </w:pPr>
  </w:style>
  <w:style w:type="character" w:customStyle="1" w:styleId="af">
    <w:name w:val="Текст концевой сноски Знак"/>
    <w:link w:val="ae"/>
    <w:uiPriority w:val="99"/>
    <w:rsid w:val="008168C4"/>
    <w:rPr>
      <w:sz w:val="20"/>
    </w:rPr>
  </w:style>
  <w:style w:type="character" w:styleId="af0">
    <w:name w:val="endnote reference"/>
    <w:uiPriority w:val="99"/>
    <w:semiHidden/>
    <w:unhideWhenUsed/>
    <w:rsid w:val="008168C4"/>
    <w:rPr>
      <w:vertAlign w:val="superscript"/>
    </w:rPr>
  </w:style>
  <w:style w:type="paragraph" w:styleId="1">
    <w:name w:val="toc 1"/>
    <w:basedOn w:val="a"/>
    <w:next w:val="a"/>
    <w:uiPriority w:val="39"/>
    <w:unhideWhenUsed/>
    <w:rsid w:val="008168C4"/>
    <w:pPr>
      <w:spacing w:after="57"/>
    </w:pPr>
  </w:style>
  <w:style w:type="paragraph" w:styleId="21">
    <w:name w:val="toc 2"/>
    <w:basedOn w:val="a"/>
    <w:next w:val="a"/>
    <w:uiPriority w:val="39"/>
    <w:unhideWhenUsed/>
    <w:rsid w:val="008168C4"/>
    <w:pPr>
      <w:spacing w:after="57"/>
      <w:ind w:left="283"/>
    </w:pPr>
  </w:style>
  <w:style w:type="paragraph" w:styleId="3">
    <w:name w:val="toc 3"/>
    <w:basedOn w:val="a"/>
    <w:next w:val="a"/>
    <w:uiPriority w:val="39"/>
    <w:unhideWhenUsed/>
    <w:rsid w:val="008168C4"/>
    <w:pPr>
      <w:spacing w:after="57"/>
      <w:ind w:left="567"/>
    </w:pPr>
  </w:style>
  <w:style w:type="paragraph" w:styleId="4">
    <w:name w:val="toc 4"/>
    <w:basedOn w:val="a"/>
    <w:next w:val="a"/>
    <w:uiPriority w:val="39"/>
    <w:unhideWhenUsed/>
    <w:rsid w:val="008168C4"/>
    <w:pPr>
      <w:spacing w:after="57"/>
      <w:ind w:left="850"/>
    </w:pPr>
  </w:style>
  <w:style w:type="paragraph" w:styleId="5">
    <w:name w:val="toc 5"/>
    <w:basedOn w:val="a"/>
    <w:next w:val="a"/>
    <w:uiPriority w:val="39"/>
    <w:unhideWhenUsed/>
    <w:rsid w:val="008168C4"/>
    <w:pPr>
      <w:spacing w:after="57"/>
      <w:ind w:left="1134"/>
    </w:pPr>
  </w:style>
  <w:style w:type="paragraph" w:styleId="6">
    <w:name w:val="toc 6"/>
    <w:basedOn w:val="a"/>
    <w:next w:val="a"/>
    <w:uiPriority w:val="39"/>
    <w:unhideWhenUsed/>
    <w:rsid w:val="008168C4"/>
    <w:pPr>
      <w:spacing w:after="57"/>
      <w:ind w:left="1417"/>
    </w:pPr>
  </w:style>
  <w:style w:type="paragraph" w:styleId="7">
    <w:name w:val="toc 7"/>
    <w:basedOn w:val="a"/>
    <w:next w:val="a"/>
    <w:uiPriority w:val="39"/>
    <w:unhideWhenUsed/>
    <w:rsid w:val="008168C4"/>
    <w:pPr>
      <w:spacing w:after="57"/>
      <w:ind w:left="1701"/>
    </w:pPr>
  </w:style>
  <w:style w:type="paragraph" w:styleId="8">
    <w:name w:val="toc 8"/>
    <w:basedOn w:val="a"/>
    <w:next w:val="a"/>
    <w:uiPriority w:val="39"/>
    <w:unhideWhenUsed/>
    <w:rsid w:val="008168C4"/>
    <w:pPr>
      <w:spacing w:after="57"/>
      <w:ind w:left="1984"/>
    </w:pPr>
  </w:style>
  <w:style w:type="paragraph" w:styleId="9">
    <w:name w:val="toc 9"/>
    <w:basedOn w:val="a"/>
    <w:next w:val="a"/>
    <w:uiPriority w:val="39"/>
    <w:unhideWhenUsed/>
    <w:rsid w:val="008168C4"/>
    <w:pPr>
      <w:spacing w:after="57"/>
      <w:ind w:left="2268"/>
    </w:pPr>
  </w:style>
  <w:style w:type="paragraph" w:styleId="af1">
    <w:name w:val="TOC Heading"/>
    <w:uiPriority w:val="39"/>
    <w:unhideWhenUsed/>
    <w:rsid w:val="008168C4"/>
  </w:style>
  <w:style w:type="paragraph" w:styleId="af2">
    <w:name w:val="table of figures"/>
    <w:basedOn w:val="a"/>
    <w:next w:val="a"/>
    <w:uiPriority w:val="99"/>
    <w:unhideWhenUsed/>
    <w:rsid w:val="008168C4"/>
    <w:pPr>
      <w:spacing w:after="0"/>
    </w:pPr>
  </w:style>
  <w:style w:type="paragraph" w:styleId="af3">
    <w:name w:val="No Spacing"/>
    <w:basedOn w:val="a"/>
    <w:uiPriority w:val="1"/>
    <w:qFormat/>
    <w:rsid w:val="008168C4"/>
    <w:pPr>
      <w:spacing w:after="0" w:line="240" w:lineRule="auto"/>
    </w:pPr>
  </w:style>
  <w:style w:type="paragraph" w:styleId="af4">
    <w:name w:val="List Paragraph"/>
    <w:basedOn w:val="a"/>
    <w:uiPriority w:val="34"/>
    <w:qFormat/>
    <w:rsid w:val="008168C4"/>
    <w:pPr>
      <w:ind w:left="720"/>
      <w:contextualSpacing/>
    </w:pPr>
  </w:style>
  <w:style w:type="paragraph" w:customStyle="1" w:styleId="ConsPlusNormal">
    <w:name w:val="ConsPlusNormal"/>
    <w:rsid w:val="005D2E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D2E0A"/>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ООО "РТФ-Аудит"</cp:lastModifiedBy>
  <cp:revision>8</cp:revision>
  <dcterms:created xsi:type="dcterms:W3CDTF">2024-07-02T06:33:00Z</dcterms:created>
  <dcterms:modified xsi:type="dcterms:W3CDTF">2024-07-02T07:20:00Z</dcterms:modified>
</cp:coreProperties>
</file>