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F4F05" w14:textId="27D80CF4" w:rsidR="00A2047C" w:rsidRPr="00A2047C" w:rsidRDefault="00360041" w:rsidP="00A2047C">
      <w:pPr>
        <w:pBdr>
          <w:top w:val="single" w:sz="4" w:space="1" w:color="auto"/>
          <w:left w:val="single" w:sz="4" w:space="4" w:color="auto"/>
          <w:bottom w:val="single" w:sz="4" w:space="1" w:color="auto"/>
          <w:right w:val="single" w:sz="4" w:space="4" w:color="auto"/>
        </w:pBdr>
        <w:shd w:val="clear" w:color="auto" w:fill="FFFFFF"/>
        <w:spacing w:before="220" w:after="160" w:line="78" w:lineRule="atLeast"/>
        <w:ind w:firstLine="567"/>
        <w:jc w:val="both"/>
        <w:rPr>
          <w:rFonts w:eastAsia="Times New Roman"/>
          <w:color w:val="000000"/>
          <w:shd w:val="clear" w:color="auto" w:fill="FFFFFF"/>
          <w:lang w:val="ru-RU"/>
        </w:rPr>
      </w:pPr>
      <w:r>
        <w:rPr>
          <w:rFonts w:eastAsia="Times New Roman"/>
          <w:b/>
          <w:bCs/>
          <w:color w:val="000000"/>
          <w:shd w:val="clear" w:color="auto" w:fill="FFFFFF"/>
          <w:lang w:val="ru-RU"/>
        </w:rPr>
        <w:t xml:space="preserve">ВОПРОС </w:t>
      </w:r>
      <w:r w:rsidRPr="00360041">
        <w:rPr>
          <w:rFonts w:eastAsia="Times New Roman"/>
          <w:b/>
          <w:bCs/>
          <w:color w:val="000000"/>
          <w:shd w:val="clear" w:color="auto" w:fill="FFFFFF"/>
          <w:lang w:val="ru-RU"/>
        </w:rPr>
        <w:t>2.</w:t>
      </w:r>
      <w:r w:rsidR="00A2047C" w:rsidRPr="00A2047C">
        <w:rPr>
          <w:rFonts w:eastAsia="Times New Roman"/>
          <w:color w:val="000000"/>
          <w:shd w:val="clear" w:color="auto" w:fill="FFFFFF"/>
          <w:lang w:val="ru-RU"/>
        </w:rPr>
        <w:t xml:space="preserve"> </w:t>
      </w:r>
      <w:r w:rsidR="00A2047C" w:rsidRPr="00A2047C">
        <w:rPr>
          <w:rFonts w:eastAsia="Times New Roman"/>
          <w:b/>
          <w:bCs/>
          <w:color w:val="000000"/>
          <w:shd w:val="clear" w:color="auto" w:fill="FFFFFF"/>
          <w:lang w:val="ru-RU"/>
        </w:rPr>
        <w:t>Юлия</w:t>
      </w:r>
    </w:p>
    <w:p w14:paraId="32954298" w14:textId="2675B2B3" w:rsidR="00A2047C" w:rsidRPr="00A2047C" w:rsidRDefault="00A2047C" w:rsidP="00A2047C">
      <w:pPr>
        <w:pBdr>
          <w:top w:val="single" w:sz="4" w:space="1" w:color="auto"/>
          <w:left w:val="single" w:sz="4" w:space="4" w:color="auto"/>
          <w:bottom w:val="single" w:sz="4" w:space="1" w:color="auto"/>
          <w:right w:val="single" w:sz="4" w:space="4" w:color="auto"/>
        </w:pBdr>
        <w:shd w:val="clear" w:color="auto" w:fill="FFFFFF"/>
        <w:spacing w:before="220" w:after="160" w:line="78" w:lineRule="atLeast"/>
        <w:ind w:firstLine="567"/>
        <w:jc w:val="both"/>
        <w:rPr>
          <w:rFonts w:eastAsia="Times New Roman"/>
          <w:color w:val="000000"/>
          <w:shd w:val="clear" w:color="auto" w:fill="FFFFFF"/>
          <w:lang w:val="ru-RU"/>
        </w:rPr>
      </w:pPr>
      <w:r w:rsidRPr="00A2047C">
        <w:rPr>
          <w:rFonts w:eastAsia="Times New Roman"/>
          <w:color w:val="000000"/>
          <w:shd w:val="clear" w:color="auto" w:fill="FFFFFF"/>
          <w:lang w:val="ru-RU"/>
        </w:rPr>
        <w:t xml:space="preserve">На сайте организации хотим разместить сборник к 30 </w:t>
      </w:r>
      <w:proofErr w:type="spellStart"/>
      <w:r w:rsidRPr="00A2047C">
        <w:rPr>
          <w:rFonts w:eastAsia="Times New Roman"/>
          <w:color w:val="000000"/>
          <w:shd w:val="clear" w:color="auto" w:fill="FFFFFF"/>
          <w:lang w:val="ru-RU"/>
        </w:rPr>
        <w:t>летию</w:t>
      </w:r>
      <w:proofErr w:type="spellEnd"/>
      <w:r w:rsidRPr="00A2047C">
        <w:rPr>
          <w:rFonts w:eastAsia="Times New Roman"/>
          <w:color w:val="000000"/>
          <w:shd w:val="clear" w:color="auto" w:fill="FFFFFF"/>
          <w:lang w:val="ru-RU"/>
        </w:rPr>
        <w:t xml:space="preserve"> нашей организации, т.е. это статьи сотрудников касаемо работы и результатов, которые организация за 30 лет достигла. Также хотим издать этот сборник в печатном виде и использовать его для безвозмездной раздачи и если получится</w:t>
      </w:r>
      <w:r>
        <w:rPr>
          <w:rFonts w:eastAsia="Times New Roman"/>
          <w:color w:val="000000"/>
          <w:shd w:val="clear" w:color="auto" w:fill="FFFFFF"/>
          <w:lang w:val="ru-RU"/>
        </w:rPr>
        <w:t>,</w:t>
      </w:r>
      <w:r w:rsidRPr="00A2047C">
        <w:rPr>
          <w:rFonts w:eastAsia="Times New Roman"/>
          <w:color w:val="000000"/>
          <w:shd w:val="clear" w:color="auto" w:fill="FFFFFF"/>
          <w:lang w:val="ru-RU"/>
        </w:rPr>
        <w:t xml:space="preserve"> то и продать попробовать. Какие в данной случае налоговые последствия, возникнет ли НМА при публикации на сайте сборника, нужно ли будет начислять амортизацию, либо мы можем сразу принять на забалансовый учёт, при условии, что будет малоценное НМА. Нужно ли маркировать публикацию сборника на сайте как рекламу?  </w:t>
      </w:r>
    </w:p>
    <w:p w14:paraId="23288974" w14:textId="77777777" w:rsidR="00A2047C" w:rsidRPr="00A2047C" w:rsidRDefault="00A2047C" w:rsidP="00A2047C">
      <w:pPr>
        <w:pBdr>
          <w:top w:val="single" w:sz="4" w:space="1" w:color="auto"/>
          <w:left w:val="single" w:sz="4" w:space="4" w:color="auto"/>
          <w:bottom w:val="single" w:sz="4" w:space="1" w:color="auto"/>
          <w:right w:val="single" w:sz="4" w:space="4" w:color="auto"/>
        </w:pBdr>
        <w:shd w:val="clear" w:color="auto" w:fill="FFFFFF"/>
        <w:spacing w:before="220" w:after="160" w:line="78" w:lineRule="atLeast"/>
        <w:ind w:firstLine="567"/>
        <w:jc w:val="both"/>
        <w:rPr>
          <w:rFonts w:eastAsia="Times New Roman"/>
          <w:color w:val="000000"/>
          <w:shd w:val="clear" w:color="auto" w:fill="FFFFFF"/>
          <w:lang w:val="ru-RU"/>
        </w:rPr>
      </w:pPr>
      <w:r w:rsidRPr="00A2047C">
        <w:rPr>
          <w:rFonts w:eastAsia="Times New Roman"/>
          <w:color w:val="000000"/>
          <w:shd w:val="clear" w:color="auto" w:fill="FFFFFF"/>
          <w:lang w:val="ru-RU"/>
        </w:rPr>
        <w:t xml:space="preserve">А печатные сборники, мы принимать будем так: </w:t>
      </w:r>
    </w:p>
    <w:p w14:paraId="652DDE83" w14:textId="77777777" w:rsidR="00A2047C" w:rsidRPr="00A2047C" w:rsidRDefault="00A2047C" w:rsidP="00A2047C">
      <w:pPr>
        <w:pBdr>
          <w:top w:val="single" w:sz="4" w:space="1" w:color="auto"/>
          <w:left w:val="single" w:sz="4" w:space="4" w:color="auto"/>
          <w:bottom w:val="single" w:sz="4" w:space="1" w:color="auto"/>
          <w:right w:val="single" w:sz="4" w:space="4" w:color="auto"/>
        </w:pBdr>
        <w:shd w:val="clear" w:color="auto" w:fill="FFFFFF"/>
        <w:spacing w:before="220" w:after="160" w:line="78" w:lineRule="atLeast"/>
        <w:ind w:firstLine="567"/>
        <w:jc w:val="both"/>
        <w:rPr>
          <w:rFonts w:eastAsia="Times New Roman"/>
          <w:color w:val="000000"/>
          <w:shd w:val="clear" w:color="auto" w:fill="FFFFFF"/>
          <w:lang w:val="ru-RU"/>
        </w:rPr>
      </w:pPr>
      <w:proofErr w:type="spellStart"/>
      <w:r w:rsidRPr="00A2047C">
        <w:rPr>
          <w:rFonts w:eastAsia="Times New Roman"/>
          <w:color w:val="000000"/>
          <w:shd w:val="clear" w:color="auto" w:fill="FFFFFF"/>
          <w:lang w:val="ru-RU"/>
        </w:rPr>
        <w:t>Дт</w:t>
      </w:r>
      <w:proofErr w:type="spellEnd"/>
      <w:r w:rsidRPr="00A2047C">
        <w:rPr>
          <w:rFonts w:eastAsia="Times New Roman"/>
          <w:color w:val="000000"/>
          <w:shd w:val="clear" w:color="auto" w:fill="FFFFFF"/>
          <w:lang w:val="ru-RU"/>
        </w:rPr>
        <w:t xml:space="preserve"> 41 - </w:t>
      </w:r>
      <w:proofErr w:type="spellStart"/>
      <w:r w:rsidRPr="00A2047C">
        <w:rPr>
          <w:rFonts w:eastAsia="Times New Roman"/>
          <w:color w:val="000000"/>
          <w:shd w:val="clear" w:color="auto" w:fill="FFFFFF"/>
          <w:lang w:val="ru-RU"/>
        </w:rPr>
        <w:t>Кт</w:t>
      </w:r>
      <w:proofErr w:type="spellEnd"/>
      <w:r w:rsidRPr="00A2047C">
        <w:rPr>
          <w:rFonts w:eastAsia="Times New Roman"/>
          <w:color w:val="000000"/>
          <w:shd w:val="clear" w:color="auto" w:fill="FFFFFF"/>
          <w:lang w:val="ru-RU"/>
        </w:rPr>
        <w:t xml:space="preserve"> 60 - приняли книгу к учету.</w:t>
      </w:r>
    </w:p>
    <w:p w14:paraId="2BBE2A59" w14:textId="77777777" w:rsidR="00A2047C" w:rsidRPr="00A2047C" w:rsidRDefault="00A2047C" w:rsidP="00A2047C">
      <w:pPr>
        <w:pBdr>
          <w:top w:val="single" w:sz="4" w:space="1" w:color="auto"/>
          <w:left w:val="single" w:sz="4" w:space="4" w:color="auto"/>
          <w:bottom w:val="single" w:sz="4" w:space="1" w:color="auto"/>
          <w:right w:val="single" w:sz="4" w:space="4" w:color="auto"/>
        </w:pBdr>
        <w:shd w:val="clear" w:color="auto" w:fill="FFFFFF"/>
        <w:spacing w:before="220" w:after="160" w:line="78" w:lineRule="atLeast"/>
        <w:ind w:firstLine="567"/>
        <w:jc w:val="both"/>
        <w:rPr>
          <w:rFonts w:eastAsia="Times New Roman"/>
          <w:color w:val="000000"/>
          <w:shd w:val="clear" w:color="auto" w:fill="FFFFFF"/>
          <w:lang w:val="ru-RU"/>
        </w:rPr>
      </w:pPr>
      <w:r w:rsidRPr="00A2047C">
        <w:rPr>
          <w:rFonts w:eastAsia="Times New Roman"/>
          <w:color w:val="000000"/>
          <w:shd w:val="clear" w:color="auto" w:fill="FFFFFF"/>
          <w:lang w:val="ru-RU"/>
        </w:rPr>
        <w:t>Те сборники, что получится продать - по обычной "торговой" схеме:</w:t>
      </w:r>
    </w:p>
    <w:p w14:paraId="396B5B3E" w14:textId="77777777" w:rsidR="00A2047C" w:rsidRPr="00A2047C" w:rsidRDefault="00A2047C" w:rsidP="00A2047C">
      <w:pPr>
        <w:pBdr>
          <w:top w:val="single" w:sz="4" w:space="1" w:color="auto"/>
          <w:left w:val="single" w:sz="4" w:space="4" w:color="auto"/>
          <w:bottom w:val="single" w:sz="4" w:space="1" w:color="auto"/>
          <w:right w:val="single" w:sz="4" w:space="4" w:color="auto"/>
        </w:pBdr>
        <w:shd w:val="clear" w:color="auto" w:fill="FFFFFF"/>
        <w:spacing w:before="220" w:after="160" w:line="78" w:lineRule="atLeast"/>
        <w:ind w:firstLine="567"/>
        <w:jc w:val="both"/>
        <w:rPr>
          <w:rFonts w:eastAsia="Times New Roman"/>
          <w:color w:val="000000"/>
          <w:shd w:val="clear" w:color="auto" w:fill="FFFFFF"/>
          <w:lang w:val="ru-RU"/>
        </w:rPr>
      </w:pPr>
      <w:proofErr w:type="spellStart"/>
      <w:r w:rsidRPr="00A2047C">
        <w:rPr>
          <w:rFonts w:eastAsia="Times New Roman"/>
          <w:color w:val="000000"/>
          <w:shd w:val="clear" w:color="auto" w:fill="FFFFFF"/>
          <w:lang w:val="ru-RU"/>
        </w:rPr>
        <w:t>Дт</w:t>
      </w:r>
      <w:proofErr w:type="spellEnd"/>
      <w:r w:rsidRPr="00A2047C">
        <w:rPr>
          <w:rFonts w:eastAsia="Times New Roman"/>
          <w:color w:val="000000"/>
          <w:shd w:val="clear" w:color="auto" w:fill="FFFFFF"/>
          <w:lang w:val="ru-RU"/>
        </w:rPr>
        <w:t xml:space="preserve"> 62 - </w:t>
      </w:r>
      <w:proofErr w:type="spellStart"/>
      <w:r w:rsidRPr="00A2047C">
        <w:rPr>
          <w:rFonts w:eastAsia="Times New Roman"/>
          <w:color w:val="000000"/>
          <w:shd w:val="clear" w:color="auto" w:fill="FFFFFF"/>
          <w:lang w:val="ru-RU"/>
        </w:rPr>
        <w:t>Кт</w:t>
      </w:r>
      <w:proofErr w:type="spellEnd"/>
      <w:r w:rsidRPr="00A2047C">
        <w:rPr>
          <w:rFonts w:eastAsia="Times New Roman"/>
          <w:color w:val="000000"/>
          <w:shd w:val="clear" w:color="auto" w:fill="FFFFFF"/>
          <w:lang w:val="ru-RU"/>
        </w:rPr>
        <w:t xml:space="preserve"> 90.1</w:t>
      </w:r>
    </w:p>
    <w:p w14:paraId="66983B3A" w14:textId="77777777" w:rsidR="00A2047C" w:rsidRPr="00A2047C" w:rsidRDefault="00A2047C" w:rsidP="00A2047C">
      <w:pPr>
        <w:pBdr>
          <w:top w:val="single" w:sz="4" w:space="1" w:color="auto"/>
          <w:left w:val="single" w:sz="4" w:space="4" w:color="auto"/>
          <w:bottom w:val="single" w:sz="4" w:space="1" w:color="auto"/>
          <w:right w:val="single" w:sz="4" w:space="4" w:color="auto"/>
        </w:pBdr>
        <w:shd w:val="clear" w:color="auto" w:fill="FFFFFF"/>
        <w:spacing w:before="220" w:after="160" w:line="78" w:lineRule="atLeast"/>
        <w:ind w:firstLine="567"/>
        <w:jc w:val="both"/>
        <w:rPr>
          <w:rFonts w:eastAsia="Times New Roman"/>
          <w:color w:val="000000"/>
          <w:shd w:val="clear" w:color="auto" w:fill="FFFFFF"/>
          <w:lang w:val="ru-RU"/>
        </w:rPr>
      </w:pPr>
      <w:proofErr w:type="spellStart"/>
      <w:r w:rsidRPr="00A2047C">
        <w:rPr>
          <w:rFonts w:eastAsia="Times New Roman"/>
          <w:color w:val="000000"/>
          <w:shd w:val="clear" w:color="auto" w:fill="FFFFFF"/>
          <w:lang w:val="ru-RU"/>
        </w:rPr>
        <w:t>Дт</w:t>
      </w:r>
      <w:proofErr w:type="spellEnd"/>
      <w:r w:rsidRPr="00A2047C">
        <w:rPr>
          <w:rFonts w:eastAsia="Times New Roman"/>
          <w:color w:val="000000"/>
          <w:shd w:val="clear" w:color="auto" w:fill="FFFFFF"/>
          <w:lang w:val="ru-RU"/>
        </w:rPr>
        <w:t xml:space="preserve"> 90.2 - </w:t>
      </w:r>
      <w:proofErr w:type="spellStart"/>
      <w:r w:rsidRPr="00A2047C">
        <w:rPr>
          <w:rFonts w:eastAsia="Times New Roman"/>
          <w:color w:val="000000"/>
          <w:shd w:val="clear" w:color="auto" w:fill="FFFFFF"/>
          <w:lang w:val="ru-RU"/>
        </w:rPr>
        <w:t>Кт</w:t>
      </w:r>
      <w:proofErr w:type="spellEnd"/>
      <w:r w:rsidRPr="00A2047C">
        <w:rPr>
          <w:rFonts w:eastAsia="Times New Roman"/>
          <w:color w:val="000000"/>
          <w:shd w:val="clear" w:color="auto" w:fill="FFFFFF"/>
          <w:lang w:val="ru-RU"/>
        </w:rPr>
        <w:t xml:space="preserve"> 41 </w:t>
      </w:r>
    </w:p>
    <w:p w14:paraId="79251AE0" w14:textId="77777777" w:rsidR="00A2047C" w:rsidRPr="00A2047C" w:rsidRDefault="00A2047C" w:rsidP="00A2047C">
      <w:pPr>
        <w:pBdr>
          <w:top w:val="single" w:sz="4" w:space="1" w:color="auto"/>
          <w:left w:val="single" w:sz="4" w:space="4" w:color="auto"/>
          <w:bottom w:val="single" w:sz="4" w:space="1" w:color="auto"/>
          <w:right w:val="single" w:sz="4" w:space="4" w:color="auto"/>
        </w:pBdr>
        <w:shd w:val="clear" w:color="auto" w:fill="FFFFFF"/>
        <w:spacing w:before="220" w:after="160" w:line="78" w:lineRule="atLeast"/>
        <w:ind w:firstLine="567"/>
        <w:jc w:val="both"/>
        <w:rPr>
          <w:rFonts w:eastAsia="Times New Roman"/>
          <w:color w:val="000000"/>
          <w:shd w:val="clear" w:color="auto" w:fill="FFFFFF"/>
          <w:lang w:val="ru-RU"/>
        </w:rPr>
      </w:pPr>
      <w:r w:rsidRPr="00A2047C">
        <w:rPr>
          <w:rFonts w:eastAsia="Times New Roman"/>
          <w:color w:val="000000"/>
          <w:shd w:val="clear" w:color="auto" w:fill="FFFFFF"/>
          <w:lang w:val="ru-RU"/>
        </w:rPr>
        <w:t>А те сборники, которые раздаёте в порядке благотворительности и в рамках уставной деятельности:</w:t>
      </w:r>
    </w:p>
    <w:p w14:paraId="1F84F86A" w14:textId="77777777" w:rsidR="00A2047C" w:rsidRPr="00A2047C" w:rsidRDefault="00A2047C" w:rsidP="00A2047C">
      <w:pPr>
        <w:pBdr>
          <w:top w:val="single" w:sz="4" w:space="1" w:color="auto"/>
          <w:left w:val="single" w:sz="4" w:space="4" w:color="auto"/>
          <w:bottom w:val="single" w:sz="4" w:space="1" w:color="auto"/>
          <w:right w:val="single" w:sz="4" w:space="4" w:color="auto"/>
        </w:pBdr>
        <w:shd w:val="clear" w:color="auto" w:fill="FFFFFF"/>
        <w:spacing w:before="220" w:after="160" w:line="78" w:lineRule="atLeast"/>
        <w:ind w:firstLine="567"/>
        <w:jc w:val="both"/>
        <w:rPr>
          <w:rFonts w:eastAsia="Times New Roman"/>
          <w:color w:val="000000"/>
          <w:shd w:val="clear" w:color="auto" w:fill="FFFFFF"/>
          <w:lang w:val="ru-RU"/>
        </w:rPr>
      </w:pPr>
      <w:proofErr w:type="spellStart"/>
      <w:r w:rsidRPr="00A2047C">
        <w:rPr>
          <w:rFonts w:eastAsia="Times New Roman"/>
          <w:color w:val="000000"/>
          <w:shd w:val="clear" w:color="auto" w:fill="FFFFFF"/>
          <w:lang w:val="ru-RU"/>
        </w:rPr>
        <w:t>Дт</w:t>
      </w:r>
      <w:proofErr w:type="spellEnd"/>
      <w:r w:rsidRPr="00A2047C">
        <w:rPr>
          <w:rFonts w:eastAsia="Times New Roman"/>
          <w:color w:val="000000"/>
          <w:shd w:val="clear" w:color="auto" w:fill="FFFFFF"/>
          <w:lang w:val="ru-RU"/>
        </w:rPr>
        <w:t xml:space="preserve"> 86 - </w:t>
      </w:r>
      <w:proofErr w:type="spellStart"/>
      <w:r w:rsidRPr="00A2047C">
        <w:rPr>
          <w:rFonts w:eastAsia="Times New Roman"/>
          <w:color w:val="000000"/>
          <w:shd w:val="clear" w:color="auto" w:fill="FFFFFF"/>
          <w:lang w:val="ru-RU"/>
        </w:rPr>
        <w:t>Кт</w:t>
      </w:r>
      <w:proofErr w:type="spellEnd"/>
      <w:r w:rsidRPr="00A2047C">
        <w:rPr>
          <w:rFonts w:eastAsia="Times New Roman"/>
          <w:color w:val="000000"/>
          <w:shd w:val="clear" w:color="auto" w:fill="FFFFFF"/>
          <w:lang w:val="ru-RU"/>
        </w:rPr>
        <w:t xml:space="preserve"> 41</w:t>
      </w:r>
    </w:p>
    <w:p w14:paraId="48BB8F4C" w14:textId="4B3AC9DB" w:rsidR="00360041" w:rsidRPr="00360041" w:rsidRDefault="00A2047C" w:rsidP="00A2047C">
      <w:pPr>
        <w:pBdr>
          <w:top w:val="single" w:sz="4" w:space="1" w:color="auto"/>
          <w:left w:val="single" w:sz="4" w:space="4" w:color="auto"/>
          <w:bottom w:val="single" w:sz="4" w:space="1" w:color="auto"/>
          <w:right w:val="single" w:sz="4" w:space="4" w:color="auto"/>
        </w:pBdr>
        <w:shd w:val="clear" w:color="auto" w:fill="FFFFFF"/>
        <w:spacing w:before="220" w:after="160" w:line="78" w:lineRule="atLeast"/>
        <w:ind w:firstLine="567"/>
        <w:jc w:val="both"/>
        <w:rPr>
          <w:rFonts w:eastAsia="Times New Roman"/>
          <w:color w:val="000000"/>
          <w:shd w:val="clear" w:color="auto" w:fill="FFFFFF"/>
          <w:lang w:val="ru-RU"/>
        </w:rPr>
      </w:pPr>
      <w:r w:rsidRPr="00A2047C">
        <w:rPr>
          <w:rFonts w:eastAsia="Times New Roman"/>
          <w:color w:val="000000"/>
          <w:shd w:val="clear" w:color="auto" w:fill="FFFFFF"/>
          <w:lang w:val="ru-RU"/>
        </w:rPr>
        <w:t>Верно мы понимаем?</w:t>
      </w:r>
    </w:p>
    <w:p w14:paraId="5115A84A" w14:textId="04814289" w:rsidR="004B3996" w:rsidRDefault="004B3996" w:rsidP="008E0CCD">
      <w:pPr>
        <w:pStyle w:val="a7"/>
        <w:numPr>
          <w:ilvl w:val="0"/>
          <w:numId w:val="1"/>
        </w:numPr>
        <w:spacing w:line="360" w:lineRule="auto"/>
        <w:ind w:left="0" w:firstLine="0"/>
        <w:jc w:val="both"/>
        <w:rPr>
          <w:rFonts w:eastAsia="Times New Roman"/>
          <w:color w:val="000000"/>
          <w:shd w:val="clear" w:color="auto" w:fill="FFFFFF"/>
          <w:lang w:val="ru-RU"/>
        </w:rPr>
      </w:pPr>
      <w:r w:rsidRPr="004B3996">
        <w:rPr>
          <w:rFonts w:eastAsia="Times New Roman"/>
          <w:color w:val="000000"/>
          <w:shd w:val="clear" w:color="auto" w:fill="FFFFFF"/>
          <w:lang w:val="ru-RU"/>
        </w:rPr>
        <w:t>Учет сборников рекомендуем вести на счете 10 «Материалы»</w:t>
      </w:r>
      <w:r w:rsidR="00C52964">
        <w:rPr>
          <w:rFonts w:eastAsia="Times New Roman"/>
          <w:color w:val="000000"/>
          <w:shd w:val="clear" w:color="auto" w:fill="FFFFFF"/>
          <w:lang w:val="ru-RU"/>
        </w:rPr>
        <w:t>, т.к. сборники изначально не являются товаром, а издаются для безвозмездной передачи.</w:t>
      </w:r>
    </w:p>
    <w:p w14:paraId="5731F75F" w14:textId="519D259C" w:rsidR="00C52964" w:rsidRDefault="002C3CF9" w:rsidP="008E0CCD">
      <w:pPr>
        <w:pStyle w:val="a7"/>
        <w:spacing w:line="360" w:lineRule="auto"/>
        <w:ind w:left="0"/>
        <w:jc w:val="both"/>
        <w:rPr>
          <w:rFonts w:eastAsia="Times New Roman"/>
          <w:color w:val="000000"/>
          <w:shd w:val="clear" w:color="auto" w:fill="FFFFFF"/>
          <w:lang w:val="ru-RU"/>
        </w:rPr>
      </w:pPr>
      <w:r>
        <w:rPr>
          <w:rFonts w:eastAsia="Times New Roman"/>
          <w:color w:val="000000"/>
          <w:shd w:val="clear" w:color="auto" w:fill="FFFFFF"/>
          <w:lang w:val="ru-RU"/>
        </w:rPr>
        <w:t>Факт передачи сборников отражается проводкой Д86 К10</w:t>
      </w:r>
    </w:p>
    <w:p w14:paraId="0ECEC448" w14:textId="7A7076F3" w:rsidR="002C3CF9" w:rsidRDefault="002C3CF9" w:rsidP="008E0CCD">
      <w:pPr>
        <w:pStyle w:val="a7"/>
        <w:spacing w:line="360" w:lineRule="auto"/>
        <w:ind w:left="0"/>
        <w:jc w:val="both"/>
        <w:rPr>
          <w:rFonts w:eastAsia="Times New Roman"/>
          <w:color w:val="000000"/>
          <w:shd w:val="clear" w:color="auto" w:fill="FFFFFF"/>
          <w:lang w:val="ru-RU"/>
        </w:rPr>
      </w:pPr>
      <w:r>
        <w:rPr>
          <w:rFonts w:eastAsia="Times New Roman"/>
          <w:color w:val="000000"/>
          <w:shd w:val="clear" w:color="auto" w:fill="FFFFFF"/>
          <w:lang w:val="ru-RU"/>
        </w:rPr>
        <w:t>При продаже таких сборников возникает доход Д62 К91 и стоимость сборника списывается проводкой Д91 К10</w:t>
      </w:r>
    </w:p>
    <w:p w14:paraId="72F4A6B9" w14:textId="77777777" w:rsidR="002C3CF9" w:rsidRDefault="002C3CF9" w:rsidP="004B3996">
      <w:pPr>
        <w:pStyle w:val="a7"/>
        <w:spacing w:line="360" w:lineRule="auto"/>
        <w:ind w:left="0"/>
        <w:jc w:val="both"/>
        <w:rPr>
          <w:rFonts w:eastAsia="Times New Roman"/>
          <w:color w:val="000000"/>
          <w:shd w:val="clear" w:color="auto" w:fill="FFFFFF"/>
          <w:lang w:val="ru-RU"/>
        </w:rPr>
      </w:pPr>
    </w:p>
    <w:p w14:paraId="509E7350" w14:textId="5BAC0D49" w:rsidR="004B3996" w:rsidRPr="004B3996" w:rsidRDefault="004B3996" w:rsidP="00C52964">
      <w:pPr>
        <w:pStyle w:val="a7"/>
        <w:numPr>
          <w:ilvl w:val="0"/>
          <w:numId w:val="1"/>
        </w:numPr>
        <w:spacing w:line="360" w:lineRule="auto"/>
        <w:ind w:left="0" w:firstLine="0"/>
        <w:jc w:val="both"/>
        <w:rPr>
          <w:rFonts w:eastAsia="Times New Roman"/>
          <w:color w:val="000000"/>
          <w:shd w:val="clear" w:color="auto" w:fill="FFFFFF"/>
          <w:lang w:val="ru-RU"/>
        </w:rPr>
      </w:pPr>
      <w:r w:rsidRPr="004B3996">
        <w:rPr>
          <w:rFonts w:eastAsia="Times New Roman"/>
          <w:color w:val="000000"/>
          <w:shd w:val="clear" w:color="auto" w:fill="FFFFFF"/>
          <w:lang w:val="ru-RU"/>
        </w:rPr>
        <w:t xml:space="preserve">Нематериальным активом (НМА) считается актив, который характеризуется одновременно следующими признаками (п. 4 ФСБУ 14/2022 </w:t>
      </w:r>
      <w:r w:rsidR="005B569A">
        <w:rPr>
          <w:rFonts w:eastAsia="Times New Roman"/>
          <w:color w:val="000000"/>
          <w:shd w:val="clear" w:color="auto" w:fill="FFFFFF"/>
          <w:lang w:val="ru-RU"/>
        </w:rPr>
        <w:t>«</w:t>
      </w:r>
      <w:r w:rsidRPr="004B3996">
        <w:rPr>
          <w:rFonts w:eastAsia="Times New Roman"/>
          <w:color w:val="000000"/>
          <w:shd w:val="clear" w:color="auto" w:fill="FFFFFF"/>
          <w:lang w:val="ru-RU"/>
        </w:rPr>
        <w:t>Нематериальные активы</w:t>
      </w:r>
      <w:r w:rsidR="005B569A">
        <w:rPr>
          <w:rFonts w:eastAsia="Times New Roman"/>
          <w:color w:val="000000"/>
          <w:shd w:val="clear" w:color="auto" w:fill="FFFFFF"/>
          <w:lang w:val="ru-RU"/>
        </w:rPr>
        <w:t>»</w:t>
      </w:r>
      <w:r w:rsidRPr="004B3996">
        <w:rPr>
          <w:rFonts w:eastAsia="Times New Roman"/>
          <w:color w:val="000000"/>
          <w:shd w:val="clear" w:color="auto" w:fill="FFFFFF"/>
          <w:lang w:val="ru-RU"/>
        </w:rPr>
        <w:t>):</w:t>
      </w:r>
    </w:p>
    <w:p w14:paraId="367C61C6" w14:textId="402EF00A" w:rsidR="004B3996" w:rsidRPr="004B3996" w:rsidRDefault="004B3996" w:rsidP="004B3996">
      <w:pPr>
        <w:pStyle w:val="a7"/>
        <w:spacing w:line="360" w:lineRule="auto"/>
        <w:ind w:left="0"/>
        <w:jc w:val="both"/>
        <w:rPr>
          <w:rFonts w:eastAsia="Times New Roman"/>
          <w:color w:val="000000"/>
          <w:shd w:val="clear" w:color="auto" w:fill="FFFFFF"/>
          <w:lang w:val="ru-RU"/>
        </w:rPr>
      </w:pPr>
      <w:r>
        <w:rPr>
          <w:rFonts w:eastAsia="Times New Roman"/>
          <w:color w:val="000000"/>
          <w:shd w:val="clear" w:color="auto" w:fill="FFFFFF"/>
          <w:lang w:val="ru-RU"/>
        </w:rPr>
        <w:t xml:space="preserve">- </w:t>
      </w:r>
      <w:r w:rsidRPr="004B3996">
        <w:rPr>
          <w:rFonts w:eastAsia="Times New Roman"/>
          <w:color w:val="000000"/>
          <w:shd w:val="clear" w:color="auto" w:fill="FFFFFF"/>
          <w:lang w:val="ru-RU"/>
        </w:rPr>
        <w:t>не имеет материально-вещественной формы;</w:t>
      </w:r>
    </w:p>
    <w:p w14:paraId="5CBFB402" w14:textId="2B5F4699" w:rsidR="004B3996" w:rsidRPr="004B3996" w:rsidRDefault="004B3996" w:rsidP="004B3996">
      <w:pPr>
        <w:pStyle w:val="a7"/>
        <w:spacing w:line="360" w:lineRule="auto"/>
        <w:ind w:left="0"/>
        <w:jc w:val="both"/>
        <w:rPr>
          <w:rFonts w:eastAsia="Times New Roman"/>
          <w:color w:val="000000"/>
          <w:shd w:val="clear" w:color="auto" w:fill="FFFFFF"/>
          <w:lang w:val="ru-RU"/>
        </w:rPr>
      </w:pPr>
      <w:r>
        <w:rPr>
          <w:rFonts w:eastAsia="Times New Roman"/>
          <w:color w:val="000000"/>
          <w:shd w:val="clear" w:color="auto" w:fill="FFFFFF"/>
          <w:lang w:val="ru-RU"/>
        </w:rPr>
        <w:t xml:space="preserve">- </w:t>
      </w:r>
      <w:r w:rsidRPr="004B3996">
        <w:rPr>
          <w:rFonts w:eastAsia="Times New Roman"/>
          <w:color w:val="000000"/>
          <w:shd w:val="clear" w:color="auto" w:fill="FFFFFF"/>
          <w:lang w:val="ru-RU"/>
        </w:rPr>
        <w:t>предназначен для использования в обычной деятельности при производстве и (или) продаже продукции (товаров), при выполнении работ или оказании услуг, для предоставления за плату во временное пользование, для управленческих нужд;</w:t>
      </w:r>
    </w:p>
    <w:p w14:paraId="41698AB7" w14:textId="77777777" w:rsidR="004B3996" w:rsidRPr="004B3996" w:rsidRDefault="004B3996" w:rsidP="004B3996">
      <w:pPr>
        <w:pStyle w:val="a7"/>
        <w:spacing w:line="360" w:lineRule="auto"/>
        <w:ind w:left="0"/>
        <w:jc w:val="both"/>
        <w:rPr>
          <w:rFonts w:eastAsia="Times New Roman"/>
          <w:color w:val="000000"/>
          <w:shd w:val="clear" w:color="auto" w:fill="FFFFFF"/>
          <w:lang w:val="ru-RU"/>
        </w:rPr>
      </w:pPr>
      <w:r w:rsidRPr="004B3996">
        <w:rPr>
          <w:rFonts w:eastAsia="Times New Roman"/>
          <w:color w:val="000000"/>
          <w:shd w:val="clear" w:color="auto" w:fill="FFFFFF"/>
          <w:lang w:val="ru-RU"/>
        </w:rPr>
        <w:t>предназначен для использования в течение периода более 12 месяцев или обычного операционного цикла, превышающего 12 месяцев;</w:t>
      </w:r>
    </w:p>
    <w:p w14:paraId="08FB6E18" w14:textId="1DDDAE78" w:rsidR="004B3996" w:rsidRPr="004B3996" w:rsidRDefault="004B3996" w:rsidP="004B3996">
      <w:pPr>
        <w:pStyle w:val="a7"/>
        <w:spacing w:line="360" w:lineRule="auto"/>
        <w:ind w:left="0"/>
        <w:jc w:val="both"/>
        <w:rPr>
          <w:rFonts w:eastAsia="Times New Roman"/>
          <w:color w:val="000000"/>
          <w:shd w:val="clear" w:color="auto" w:fill="FFFFFF"/>
          <w:lang w:val="ru-RU"/>
        </w:rPr>
      </w:pPr>
      <w:r>
        <w:rPr>
          <w:rFonts w:eastAsia="Times New Roman"/>
          <w:color w:val="000000"/>
          <w:shd w:val="clear" w:color="auto" w:fill="FFFFFF"/>
          <w:lang w:val="ru-RU"/>
        </w:rPr>
        <w:t xml:space="preserve">- </w:t>
      </w:r>
      <w:r w:rsidRPr="004B3996">
        <w:rPr>
          <w:rFonts w:eastAsia="Times New Roman"/>
          <w:color w:val="000000"/>
          <w:shd w:val="clear" w:color="auto" w:fill="FFFFFF"/>
          <w:lang w:val="ru-RU"/>
        </w:rPr>
        <w:t>способен приносить организации экономические выгоды в будущем, на получение которых она имеет право и доступ иных лиц</w:t>
      </w:r>
      <w:r w:rsidR="002C3CF9">
        <w:rPr>
          <w:rFonts w:eastAsia="Times New Roman"/>
          <w:color w:val="000000"/>
          <w:shd w:val="clear" w:color="auto" w:fill="FFFFFF"/>
          <w:lang w:val="ru-RU"/>
        </w:rPr>
        <w:t xml:space="preserve"> </w:t>
      </w:r>
      <w:r w:rsidRPr="004B3996">
        <w:rPr>
          <w:rFonts w:eastAsia="Times New Roman"/>
          <w:color w:val="000000"/>
          <w:shd w:val="clear" w:color="auto" w:fill="FFFFFF"/>
          <w:lang w:val="ru-RU"/>
        </w:rPr>
        <w:t>к которым способна ограничить</w:t>
      </w:r>
      <w:r>
        <w:rPr>
          <w:rFonts w:eastAsia="Times New Roman"/>
          <w:color w:val="000000"/>
          <w:shd w:val="clear" w:color="auto" w:fill="FFFFFF"/>
          <w:lang w:val="ru-RU"/>
        </w:rPr>
        <w:t>;</w:t>
      </w:r>
    </w:p>
    <w:p w14:paraId="75B3460F" w14:textId="06F61114" w:rsidR="004B3996" w:rsidRDefault="004B3996" w:rsidP="004B3996">
      <w:pPr>
        <w:pStyle w:val="a7"/>
        <w:spacing w:line="360" w:lineRule="auto"/>
        <w:ind w:left="0"/>
        <w:jc w:val="both"/>
        <w:rPr>
          <w:rFonts w:eastAsia="Times New Roman"/>
          <w:color w:val="000000"/>
          <w:shd w:val="clear" w:color="auto" w:fill="FFFFFF"/>
          <w:lang w:val="ru-RU"/>
        </w:rPr>
      </w:pPr>
      <w:r>
        <w:rPr>
          <w:rFonts w:eastAsia="Times New Roman"/>
          <w:color w:val="000000"/>
          <w:shd w:val="clear" w:color="auto" w:fill="FFFFFF"/>
          <w:lang w:val="ru-RU"/>
        </w:rPr>
        <w:t xml:space="preserve">- </w:t>
      </w:r>
      <w:r w:rsidRPr="004B3996">
        <w:rPr>
          <w:rFonts w:eastAsia="Times New Roman"/>
          <w:color w:val="000000"/>
          <w:shd w:val="clear" w:color="auto" w:fill="FFFFFF"/>
          <w:lang w:val="ru-RU"/>
        </w:rPr>
        <w:t>может быть выделен из других активов или отделен от них.</w:t>
      </w:r>
    </w:p>
    <w:p w14:paraId="12A7E91E" w14:textId="77777777" w:rsidR="004B3996" w:rsidRPr="004B3996" w:rsidRDefault="004B3996" w:rsidP="004B3996">
      <w:pPr>
        <w:pStyle w:val="a7"/>
        <w:spacing w:line="360" w:lineRule="auto"/>
        <w:ind w:left="0"/>
        <w:jc w:val="both"/>
        <w:rPr>
          <w:rFonts w:eastAsia="Times New Roman"/>
          <w:color w:val="000000"/>
          <w:shd w:val="clear" w:color="auto" w:fill="FFFFFF"/>
          <w:lang w:val="ru-RU"/>
        </w:rPr>
      </w:pPr>
    </w:p>
    <w:p w14:paraId="0A217325" w14:textId="4202FBD8" w:rsidR="00A2047C" w:rsidRPr="004B3996" w:rsidRDefault="00A2047C" w:rsidP="004B3996">
      <w:pPr>
        <w:pStyle w:val="a7"/>
        <w:numPr>
          <w:ilvl w:val="0"/>
          <w:numId w:val="1"/>
        </w:numPr>
        <w:spacing w:line="360" w:lineRule="auto"/>
        <w:ind w:left="0" w:firstLine="0"/>
        <w:jc w:val="both"/>
        <w:rPr>
          <w:rFonts w:eastAsia="Times New Roman"/>
          <w:color w:val="000000"/>
          <w:shd w:val="clear" w:color="auto" w:fill="FFFFFF"/>
          <w:lang w:val="ru-RU"/>
        </w:rPr>
      </w:pPr>
      <w:r w:rsidRPr="004B3996">
        <w:rPr>
          <w:rFonts w:eastAsia="Times New Roman"/>
          <w:color w:val="000000"/>
          <w:shd w:val="clear" w:color="auto" w:fill="FFFFFF"/>
          <w:lang w:val="ru-RU"/>
        </w:rPr>
        <w:t xml:space="preserve">В рекламе (кроме размещенной в теле- и радиопрограммах и теле- и радиопередачах, распространяемых в сети Интернет) должны быть пометка </w:t>
      </w:r>
      <w:r w:rsidR="005B569A">
        <w:rPr>
          <w:rFonts w:eastAsia="Times New Roman"/>
          <w:color w:val="000000"/>
          <w:shd w:val="clear" w:color="auto" w:fill="FFFFFF"/>
          <w:lang w:val="ru-RU"/>
        </w:rPr>
        <w:t>«</w:t>
      </w:r>
      <w:r w:rsidRPr="004B3996">
        <w:rPr>
          <w:rFonts w:eastAsia="Times New Roman"/>
          <w:color w:val="000000"/>
          <w:shd w:val="clear" w:color="auto" w:fill="FFFFFF"/>
          <w:lang w:val="ru-RU"/>
        </w:rPr>
        <w:t>реклама</w:t>
      </w:r>
      <w:r w:rsidR="005B569A">
        <w:rPr>
          <w:rFonts w:eastAsia="Times New Roman"/>
          <w:color w:val="000000"/>
          <w:shd w:val="clear" w:color="auto" w:fill="FFFFFF"/>
          <w:lang w:val="ru-RU"/>
        </w:rPr>
        <w:t>»</w:t>
      </w:r>
      <w:r w:rsidRPr="004B3996">
        <w:rPr>
          <w:rFonts w:eastAsia="Times New Roman"/>
          <w:color w:val="000000"/>
          <w:shd w:val="clear" w:color="auto" w:fill="FFFFFF"/>
          <w:lang w:val="ru-RU"/>
        </w:rPr>
        <w:t xml:space="preserve"> и </w:t>
      </w:r>
      <w:r w:rsidRPr="004B3996">
        <w:rPr>
          <w:rFonts w:eastAsia="Times New Roman"/>
          <w:color w:val="000000"/>
          <w:shd w:val="clear" w:color="auto" w:fill="FFFFFF"/>
          <w:lang w:val="ru-RU"/>
        </w:rPr>
        <w:lastRenderedPageBreak/>
        <w:t>указание на ее рекламодателя и (или) сайт (страницу сайта) с информацией о рекламодателе (ч. 16 ст. 18.1 Закона о рекламе).</w:t>
      </w:r>
    </w:p>
    <w:p w14:paraId="1B56C137" w14:textId="77777777" w:rsidR="00A2047C" w:rsidRPr="00A2047C" w:rsidRDefault="00A2047C" w:rsidP="004B3996">
      <w:pPr>
        <w:spacing w:line="360" w:lineRule="auto"/>
        <w:jc w:val="both"/>
        <w:rPr>
          <w:rFonts w:eastAsia="Times New Roman"/>
          <w:color w:val="000000"/>
          <w:shd w:val="clear" w:color="auto" w:fill="FFFFFF"/>
          <w:lang w:val="ru-RU"/>
        </w:rPr>
      </w:pPr>
      <w:r w:rsidRPr="00A2047C">
        <w:rPr>
          <w:rFonts w:eastAsia="Times New Roman"/>
          <w:color w:val="000000"/>
          <w:shd w:val="clear" w:color="auto" w:fill="FFFFFF"/>
          <w:lang w:val="ru-RU"/>
        </w:rPr>
        <w:t>ФАС России разъяснила следующее (Письмо от 30.12.2022 N КТ/118754/22):</w:t>
      </w:r>
    </w:p>
    <w:p w14:paraId="6A3F1C64" w14:textId="2B2CEB89" w:rsidR="00A2047C" w:rsidRPr="00A2047C" w:rsidRDefault="00A2047C" w:rsidP="004B3996">
      <w:pPr>
        <w:spacing w:line="360" w:lineRule="auto"/>
        <w:jc w:val="both"/>
        <w:rPr>
          <w:rFonts w:eastAsia="Times New Roman"/>
          <w:color w:val="000000"/>
          <w:shd w:val="clear" w:color="auto" w:fill="FFFFFF"/>
          <w:lang w:val="ru-RU"/>
        </w:rPr>
      </w:pPr>
      <w:r>
        <w:rPr>
          <w:rFonts w:eastAsia="Times New Roman"/>
          <w:color w:val="000000"/>
          <w:shd w:val="clear" w:color="auto" w:fill="FFFFFF"/>
          <w:lang w:val="ru-RU"/>
        </w:rPr>
        <w:t xml:space="preserve">- </w:t>
      </w:r>
      <w:r w:rsidRPr="00A2047C">
        <w:rPr>
          <w:rFonts w:eastAsia="Times New Roman"/>
          <w:color w:val="000000"/>
          <w:shd w:val="clear" w:color="auto" w:fill="FFFFFF"/>
          <w:lang w:val="ru-RU"/>
        </w:rPr>
        <w:t>надлежащим указанием на рекламодателя считается, например, размещение в рекламе, распространяемой в Интернете, полного или краткого его наименования, включая организационно-правовую форму или ИНН, ОГРН;</w:t>
      </w:r>
    </w:p>
    <w:p w14:paraId="12311820" w14:textId="4C1838C1" w:rsidR="00A2047C" w:rsidRPr="00A2047C" w:rsidRDefault="00A2047C" w:rsidP="004B3996">
      <w:pPr>
        <w:spacing w:line="360" w:lineRule="auto"/>
        <w:jc w:val="both"/>
        <w:rPr>
          <w:rFonts w:eastAsia="Times New Roman"/>
          <w:color w:val="000000"/>
          <w:shd w:val="clear" w:color="auto" w:fill="FFFFFF"/>
          <w:lang w:val="ru-RU"/>
        </w:rPr>
      </w:pPr>
      <w:r>
        <w:rPr>
          <w:rFonts w:eastAsia="Times New Roman"/>
          <w:color w:val="000000"/>
          <w:shd w:val="clear" w:color="auto" w:fill="FFFFFF"/>
          <w:lang w:val="ru-RU"/>
        </w:rPr>
        <w:t xml:space="preserve">- </w:t>
      </w:r>
      <w:r w:rsidRPr="00A2047C">
        <w:rPr>
          <w:rFonts w:eastAsia="Times New Roman"/>
          <w:color w:val="000000"/>
          <w:shd w:val="clear" w:color="auto" w:fill="FFFFFF"/>
          <w:lang w:val="ru-RU"/>
        </w:rPr>
        <w:t>указание в такой рекламе товарного знака рекламодателя может рассматриваться как надлежащее указание на него, если товарный знак содержит его наименование. Если товарный знак содержит лишь отдельные элементы наименования, размещение в рекламе этого товарного знака требует дополнительной оценки;</w:t>
      </w:r>
    </w:p>
    <w:p w14:paraId="00773768" w14:textId="145CB24D" w:rsidR="00A2047C" w:rsidRPr="00A2047C" w:rsidRDefault="00A2047C" w:rsidP="004B3996">
      <w:pPr>
        <w:spacing w:line="360" w:lineRule="auto"/>
        <w:jc w:val="both"/>
        <w:rPr>
          <w:rFonts w:eastAsia="Times New Roman"/>
          <w:color w:val="000000"/>
          <w:shd w:val="clear" w:color="auto" w:fill="FFFFFF"/>
          <w:lang w:val="ru-RU"/>
        </w:rPr>
      </w:pPr>
      <w:r>
        <w:rPr>
          <w:rFonts w:eastAsia="Times New Roman"/>
          <w:color w:val="000000"/>
          <w:shd w:val="clear" w:color="auto" w:fill="FFFFFF"/>
          <w:lang w:val="ru-RU"/>
        </w:rPr>
        <w:t xml:space="preserve">- </w:t>
      </w:r>
      <w:r w:rsidRPr="00A2047C">
        <w:rPr>
          <w:rFonts w:eastAsia="Times New Roman"/>
          <w:color w:val="000000"/>
          <w:shd w:val="clear" w:color="auto" w:fill="FFFFFF"/>
          <w:lang w:val="ru-RU"/>
        </w:rPr>
        <w:t>если вместе с указанием на рекламодателя или вместо данного указания в рекламе приведен сайт с информацией о рекламодателе, на нем должны быть размещены сведения, позволяющие однозначно идентифицировать рекламодателя.</w:t>
      </w:r>
    </w:p>
    <w:p w14:paraId="07C44D8B" w14:textId="78953199" w:rsidR="00A2047C" w:rsidRDefault="00A2047C" w:rsidP="008E0CCD">
      <w:pPr>
        <w:spacing w:line="360" w:lineRule="auto"/>
        <w:ind w:firstLine="567"/>
        <w:jc w:val="both"/>
        <w:rPr>
          <w:rFonts w:eastAsia="Times New Roman"/>
          <w:color w:val="000000"/>
          <w:shd w:val="clear" w:color="auto" w:fill="FFFFFF"/>
          <w:lang w:val="ru-RU"/>
        </w:rPr>
      </w:pPr>
      <w:r w:rsidRPr="00A2047C">
        <w:rPr>
          <w:rFonts w:eastAsia="Times New Roman"/>
          <w:color w:val="000000"/>
          <w:shd w:val="clear" w:color="auto" w:fill="FFFFFF"/>
          <w:lang w:val="ru-RU"/>
        </w:rPr>
        <w:t>В сети Интернет можно распространять только ту рекламу, которой оператор рекламных данных присвоил идентификатор (ч. 17 ст. 18.1 Закона о рекламе). Рекламодатель или рекламораспространитель может обратиться к оператору рекламных данных за получением идентификатора в рамках исполнения договорных отношений (Письмо Роскомнадзора от 07.12.2022 N 03-108552).</w:t>
      </w:r>
    </w:p>
    <w:p w14:paraId="19A489C8" w14:textId="07B6EEFE" w:rsidR="00984949" w:rsidRDefault="00A2047C" w:rsidP="008E0CCD">
      <w:pPr>
        <w:spacing w:line="360" w:lineRule="auto"/>
        <w:ind w:firstLine="567"/>
        <w:jc w:val="both"/>
        <w:rPr>
          <w:rFonts w:eastAsia="Times New Roman"/>
          <w:color w:val="000000"/>
          <w:shd w:val="clear" w:color="auto" w:fill="FFFFFF"/>
          <w:lang w:val="ru-RU"/>
        </w:rPr>
      </w:pPr>
      <w:r>
        <w:rPr>
          <w:rFonts w:eastAsia="Times New Roman"/>
          <w:color w:val="000000"/>
          <w:shd w:val="clear" w:color="auto" w:fill="FFFFFF"/>
          <w:lang w:val="ru-RU"/>
        </w:rPr>
        <w:t>В контексте заданного вопроса не усматривается отношений рекламодателя и рекламораспространителя, соответственно не требований по маркировке.</w:t>
      </w:r>
      <w:r w:rsidR="00984949">
        <w:rPr>
          <w:rFonts w:eastAsia="Times New Roman"/>
          <w:color w:val="000000"/>
          <w:shd w:val="clear" w:color="auto" w:fill="FFFFFF"/>
          <w:lang w:val="ru-RU"/>
        </w:rPr>
        <w:br w:type="page"/>
      </w:r>
    </w:p>
    <w:p w14:paraId="69FDDC34" w14:textId="77777777" w:rsidR="00A2047C" w:rsidRPr="00A2047C" w:rsidRDefault="00360041" w:rsidP="005B569A">
      <w:pPr>
        <w:pBdr>
          <w:top w:val="single" w:sz="4" w:space="1" w:color="auto"/>
          <w:left w:val="single" w:sz="4" w:space="4" w:color="auto"/>
          <w:bottom w:val="single" w:sz="4" w:space="1" w:color="auto"/>
          <w:right w:val="single" w:sz="4" w:space="4" w:color="auto"/>
        </w:pBdr>
        <w:shd w:val="clear" w:color="auto" w:fill="FFFFFF"/>
        <w:spacing w:before="220" w:after="160" w:line="78" w:lineRule="atLeast"/>
        <w:ind w:firstLine="567"/>
        <w:jc w:val="both"/>
        <w:rPr>
          <w:rFonts w:eastAsia="Times New Roman"/>
          <w:b/>
          <w:bCs/>
          <w:color w:val="000000"/>
          <w:shd w:val="clear" w:color="auto" w:fill="FFFFFF"/>
          <w:lang w:val="ru-RU"/>
        </w:rPr>
      </w:pPr>
      <w:r>
        <w:rPr>
          <w:rFonts w:eastAsia="Times New Roman"/>
          <w:b/>
          <w:bCs/>
          <w:color w:val="000000"/>
          <w:shd w:val="clear" w:color="auto" w:fill="FFFFFF"/>
          <w:lang w:val="ru-RU"/>
        </w:rPr>
        <w:lastRenderedPageBreak/>
        <w:t xml:space="preserve">ВОПРОС </w:t>
      </w:r>
      <w:r w:rsidR="00A2047C">
        <w:rPr>
          <w:rFonts w:eastAsia="Times New Roman"/>
          <w:b/>
          <w:bCs/>
          <w:color w:val="000000"/>
          <w:shd w:val="clear" w:color="auto" w:fill="FFFFFF"/>
          <w:lang w:val="ru-RU"/>
        </w:rPr>
        <w:t>6</w:t>
      </w:r>
      <w:r w:rsidRPr="00360041">
        <w:rPr>
          <w:rFonts w:eastAsia="Times New Roman"/>
          <w:b/>
          <w:bCs/>
          <w:color w:val="000000"/>
          <w:shd w:val="clear" w:color="auto" w:fill="FFFFFF"/>
          <w:lang w:val="ru-RU"/>
        </w:rPr>
        <w:t xml:space="preserve">. </w:t>
      </w:r>
      <w:r w:rsidR="00A2047C" w:rsidRPr="00A2047C">
        <w:rPr>
          <w:rFonts w:eastAsia="Times New Roman"/>
          <w:b/>
          <w:bCs/>
          <w:color w:val="000000"/>
          <w:shd w:val="clear" w:color="auto" w:fill="FFFFFF"/>
          <w:lang w:val="ru-RU"/>
        </w:rPr>
        <w:t>Татьяна Сергеевна Ц.</w:t>
      </w:r>
    </w:p>
    <w:p w14:paraId="4CFFC21A" w14:textId="66E24B9D" w:rsidR="00A2047C" w:rsidRPr="00A2047C" w:rsidRDefault="00A2047C" w:rsidP="005B569A">
      <w:pPr>
        <w:pBdr>
          <w:top w:val="single" w:sz="4" w:space="1" w:color="auto"/>
          <w:left w:val="single" w:sz="4" w:space="4" w:color="auto"/>
          <w:bottom w:val="single" w:sz="4" w:space="1" w:color="auto"/>
          <w:right w:val="single" w:sz="4" w:space="4" w:color="auto"/>
        </w:pBdr>
        <w:shd w:val="clear" w:color="auto" w:fill="FFFFFF"/>
        <w:spacing w:line="360" w:lineRule="auto"/>
        <w:ind w:firstLine="567"/>
        <w:jc w:val="both"/>
        <w:rPr>
          <w:rFonts w:eastAsia="Times New Roman"/>
          <w:color w:val="000000"/>
          <w:shd w:val="clear" w:color="auto" w:fill="FFFFFF"/>
          <w:lang w:val="ru-RU"/>
        </w:rPr>
      </w:pPr>
      <w:r w:rsidRPr="00A2047C">
        <w:rPr>
          <w:rFonts w:eastAsia="Times New Roman"/>
          <w:color w:val="000000"/>
          <w:shd w:val="clear" w:color="auto" w:fill="FFFFFF"/>
          <w:lang w:val="ru-RU"/>
        </w:rPr>
        <w:t xml:space="preserve">Благотворительный фонд в рамках оказания благотворительной помощи за счет собственных ден. </w:t>
      </w:r>
      <w:r w:rsidR="005B569A">
        <w:rPr>
          <w:rFonts w:eastAsia="Times New Roman"/>
          <w:color w:val="000000"/>
          <w:shd w:val="clear" w:color="auto" w:fill="FFFFFF"/>
          <w:lang w:val="ru-RU"/>
        </w:rPr>
        <w:t>с</w:t>
      </w:r>
      <w:r w:rsidRPr="00A2047C">
        <w:rPr>
          <w:rFonts w:eastAsia="Times New Roman"/>
          <w:color w:val="000000"/>
          <w:shd w:val="clear" w:color="auto" w:fill="FFFFFF"/>
          <w:lang w:val="ru-RU"/>
        </w:rPr>
        <w:t>редств приобрел техническое средство реабилитации (ТСР) стоимостью 149 900,00, которое передал благополучателю по акту приемки-передачи, в товарной накладной от поставщика указан наш фонд. Данное ТСР необходимо в бухгалтерском учете оприходовать как основное средство (стоимостной лимит для ОС установлен более 100 000)? Порекомендуйте подходящие проводки с момента оприходования до передачи ТСР благополучателю.</w:t>
      </w:r>
    </w:p>
    <w:p w14:paraId="22DC8139" w14:textId="41EDF8D2" w:rsidR="00A2047C" w:rsidRPr="005B569A" w:rsidRDefault="005B569A" w:rsidP="005B569A">
      <w:pPr>
        <w:shd w:val="clear" w:color="auto" w:fill="FFFFFF"/>
        <w:spacing w:before="220" w:after="160" w:line="78" w:lineRule="atLeast"/>
        <w:ind w:firstLine="567"/>
        <w:jc w:val="both"/>
        <w:rPr>
          <w:rFonts w:eastAsia="Times New Roman"/>
          <w:color w:val="000000"/>
          <w:shd w:val="clear" w:color="auto" w:fill="FFFFFF"/>
          <w:lang w:val="ru-RU"/>
        </w:rPr>
      </w:pPr>
      <w:r w:rsidRPr="005B569A">
        <w:rPr>
          <w:rFonts w:eastAsia="Times New Roman"/>
          <w:color w:val="000000"/>
          <w:shd w:val="clear" w:color="auto" w:fill="FFFFFF"/>
          <w:lang w:val="ru-RU"/>
        </w:rPr>
        <w:t>Материальны</w:t>
      </w:r>
      <w:r>
        <w:rPr>
          <w:rFonts w:eastAsia="Times New Roman"/>
          <w:color w:val="000000"/>
          <w:shd w:val="clear" w:color="auto" w:fill="FFFFFF"/>
          <w:lang w:val="ru-RU"/>
        </w:rPr>
        <w:t xml:space="preserve">е ценности, подлежащие передаче безвозмездно в рамках благотворительной деятельности, не могут быть признаны </w:t>
      </w:r>
      <w:r w:rsidR="00144780">
        <w:rPr>
          <w:rFonts w:eastAsia="Times New Roman"/>
          <w:color w:val="000000"/>
          <w:shd w:val="clear" w:color="auto" w:fill="FFFFFF"/>
          <w:lang w:val="ru-RU"/>
        </w:rPr>
        <w:t>основными средствами.</w:t>
      </w:r>
    </w:p>
    <w:p w14:paraId="09CBAB3A" w14:textId="77783E59" w:rsidR="00144780" w:rsidRDefault="00144780" w:rsidP="00144780">
      <w:pPr>
        <w:shd w:val="clear" w:color="auto" w:fill="FFFFFF"/>
        <w:spacing w:before="220" w:after="160" w:line="78" w:lineRule="atLeast"/>
        <w:ind w:firstLine="567"/>
        <w:jc w:val="both"/>
        <w:rPr>
          <w:rFonts w:eastAsia="Times New Roman"/>
          <w:b/>
          <w:bCs/>
          <w:color w:val="000000"/>
          <w:shd w:val="clear" w:color="auto" w:fill="FFFFFF"/>
          <w:lang w:val="ru-RU"/>
        </w:rPr>
      </w:pPr>
      <w:r>
        <w:rPr>
          <w:rFonts w:eastAsia="Times New Roman"/>
          <w:b/>
          <w:bCs/>
          <w:color w:val="000000"/>
          <w:shd w:val="clear" w:color="auto" w:fill="FFFFFF"/>
          <w:lang w:val="ru-RU"/>
        </w:rPr>
        <w:t>ФСБУ 6/2020 «Основные средства»</w:t>
      </w:r>
    </w:p>
    <w:p w14:paraId="4537B474" w14:textId="616F66E8" w:rsidR="00144780" w:rsidRPr="00144780" w:rsidRDefault="00144780" w:rsidP="00144780">
      <w:pPr>
        <w:shd w:val="clear" w:color="auto" w:fill="FFFFFF"/>
        <w:spacing w:before="220" w:after="160" w:line="78" w:lineRule="atLeast"/>
        <w:ind w:firstLine="567"/>
        <w:jc w:val="both"/>
        <w:rPr>
          <w:rFonts w:eastAsia="Times New Roman"/>
          <w:color w:val="000000"/>
          <w:shd w:val="clear" w:color="auto" w:fill="FFFFFF"/>
          <w:lang w:val="ru-RU"/>
        </w:rPr>
      </w:pPr>
      <w:r w:rsidRPr="00144780">
        <w:rPr>
          <w:rFonts w:eastAsia="Times New Roman"/>
          <w:color w:val="000000"/>
          <w:shd w:val="clear" w:color="auto" w:fill="FFFFFF"/>
          <w:lang w:val="ru-RU"/>
        </w:rPr>
        <w:t>4. Для целей бухгалтерского учета объектом основных средств считается актив, характеризующийся одновременно следующими признаками:</w:t>
      </w:r>
    </w:p>
    <w:p w14:paraId="392DF3B9" w14:textId="77777777" w:rsidR="00144780" w:rsidRPr="00144780" w:rsidRDefault="00144780" w:rsidP="00144780">
      <w:pPr>
        <w:shd w:val="clear" w:color="auto" w:fill="FFFFFF"/>
        <w:spacing w:before="220" w:after="160" w:line="78" w:lineRule="atLeast"/>
        <w:ind w:firstLine="567"/>
        <w:jc w:val="both"/>
        <w:rPr>
          <w:rFonts w:eastAsia="Times New Roman"/>
          <w:color w:val="000000"/>
          <w:shd w:val="clear" w:color="auto" w:fill="FFFFFF"/>
          <w:lang w:val="ru-RU"/>
        </w:rPr>
      </w:pPr>
      <w:r w:rsidRPr="00144780">
        <w:rPr>
          <w:rFonts w:eastAsia="Times New Roman"/>
          <w:color w:val="000000"/>
          <w:shd w:val="clear" w:color="auto" w:fill="FFFFFF"/>
          <w:lang w:val="ru-RU"/>
        </w:rPr>
        <w:t>а) имеет материально-вещественную форму;</w:t>
      </w:r>
    </w:p>
    <w:p w14:paraId="32EBD879" w14:textId="77777777" w:rsidR="00144780" w:rsidRPr="00144780" w:rsidRDefault="00144780" w:rsidP="00144780">
      <w:pPr>
        <w:shd w:val="clear" w:color="auto" w:fill="FFFFFF"/>
        <w:spacing w:before="220" w:after="160" w:line="78" w:lineRule="atLeast"/>
        <w:ind w:firstLine="567"/>
        <w:jc w:val="both"/>
        <w:rPr>
          <w:rFonts w:eastAsia="Times New Roman"/>
          <w:color w:val="000000"/>
          <w:shd w:val="clear" w:color="auto" w:fill="FFFFFF"/>
          <w:lang w:val="ru-RU"/>
        </w:rPr>
      </w:pPr>
      <w:r w:rsidRPr="00144780">
        <w:rPr>
          <w:rFonts w:eastAsia="Times New Roman"/>
          <w:color w:val="000000"/>
          <w:shd w:val="clear" w:color="auto" w:fill="FFFFFF"/>
          <w:lang w:val="ru-RU"/>
        </w:rPr>
        <w:t>б) 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1CDC72C0" w14:textId="77777777" w:rsidR="00144780" w:rsidRPr="00144780" w:rsidRDefault="00144780" w:rsidP="00144780">
      <w:pPr>
        <w:shd w:val="clear" w:color="auto" w:fill="FFFFFF"/>
        <w:spacing w:before="220" w:after="160" w:line="78" w:lineRule="atLeast"/>
        <w:ind w:firstLine="567"/>
        <w:jc w:val="both"/>
        <w:rPr>
          <w:rFonts w:eastAsia="Times New Roman"/>
          <w:color w:val="000000"/>
          <w:shd w:val="clear" w:color="auto" w:fill="FFFFFF"/>
          <w:lang w:val="ru-RU"/>
        </w:rPr>
      </w:pPr>
      <w:r w:rsidRPr="00144780">
        <w:rPr>
          <w:rFonts w:eastAsia="Times New Roman"/>
          <w:color w:val="000000"/>
          <w:shd w:val="clear" w:color="auto" w:fill="FFFFFF"/>
          <w:lang w:val="ru-RU"/>
        </w:rPr>
        <w:t>в) предназначен для использования организацией в течение периода более 12 месяцев или обычного операционного цикла, превышающего 12 месяцев;</w:t>
      </w:r>
    </w:p>
    <w:p w14:paraId="072F27A8" w14:textId="502AEC97" w:rsidR="005B569A" w:rsidRPr="00144780" w:rsidRDefault="00144780" w:rsidP="00144780">
      <w:pPr>
        <w:shd w:val="clear" w:color="auto" w:fill="FFFFFF"/>
        <w:spacing w:before="220" w:after="160" w:line="78" w:lineRule="atLeast"/>
        <w:ind w:firstLine="567"/>
        <w:jc w:val="both"/>
        <w:rPr>
          <w:rFonts w:eastAsia="Times New Roman"/>
          <w:color w:val="000000"/>
          <w:shd w:val="clear" w:color="auto" w:fill="FFFFFF"/>
          <w:lang w:val="ru-RU"/>
        </w:rPr>
      </w:pPr>
      <w:r w:rsidRPr="00144780">
        <w:rPr>
          <w:rFonts w:eastAsia="Times New Roman"/>
          <w:color w:val="000000"/>
          <w:shd w:val="clear" w:color="auto" w:fill="FFFFFF"/>
          <w:lang w:val="ru-RU"/>
        </w:rPr>
        <w:t>г) способен приносить организации экономические выгоды (доход) в будущем (обеспечить достижение некоммерческой организацией целей, ради которых она создана).</w:t>
      </w:r>
    </w:p>
    <w:p w14:paraId="47D66809" w14:textId="0737785D" w:rsidR="005B569A" w:rsidRPr="00144780" w:rsidRDefault="00144780" w:rsidP="005B569A">
      <w:pPr>
        <w:shd w:val="clear" w:color="auto" w:fill="FFFFFF"/>
        <w:spacing w:before="220" w:after="160" w:line="78" w:lineRule="atLeast"/>
        <w:ind w:firstLine="567"/>
        <w:jc w:val="both"/>
        <w:rPr>
          <w:rFonts w:eastAsia="Times New Roman"/>
          <w:color w:val="000000"/>
          <w:shd w:val="clear" w:color="auto" w:fill="FFFFFF"/>
          <w:lang w:val="ru-RU"/>
        </w:rPr>
      </w:pPr>
      <w:r>
        <w:rPr>
          <w:rFonts w:eastAsia="Times New Roman"/>
          <w:color w:val="000000"/>
          <w:shd w:val="clear" w:color="auto" w:fill="FFFFFF"/>
          <w:lang w:val="ru-RU"/>
        </w:rPr>
        <w:t>Учет ТСР рекомендуем производить с использованием счета 10 «Материалы».</w:t>
      </w:r>
    </w:p>
    <w:p w14:paraId="52EE69BC" w14:textId="08DA26F1" w:rsidR="005B569A" w:rsidRDefault="00144780" w:rsidP="005B569A">
      <w:pPr>
        <w:shd w:val="clear" w:color="auto" w:fill="FFFFFF"/>
        <w:spacing w:before="220" w:after="160" w:line="78" w:lineRule="atLeast"/>
        <w:ind w:firstLine="567"/>
        <w:jc w:val="both"/>
        <w:rPr>
          <w:rFonts w:eastAsia="Times New Roman"/>
          <w:color w:val="000000"/>
          <w:shd w:val="clear" w:color="auto" w:fill="FFFFFF"/>
          <w:lang w:val="ru-RU"/>
        </w:rPr>
      </w:pPr>
      <w:r>
        <w:rPr>
          <w:rFonts w:eastAsia="Times New Roman"/>
          <w:color w:val="000000"/>
          <w:shd w:val="clear" w:color="auto" w:fill="FFFFFF"/>
          <w:lang w:val="ru-RU"/>
        </w:rPr>
        <w:t>Поступление ТСР Д 10 К 60(76)</w:t>
      </w:r>
    </w:p>
    <w:p w14:paraId="15484B2D" w14:textId="5B80DB54" w:rsidR="00144780" w:rsidRPr="00144780" w:rsidRDefault="00144780" w:rsidP="005B569A">
      <w:pPr>
        <w:shd w:val="clear" w:color="auto" w:fill="FFFFFF"/>
        <w:spacing w:before="220" w:after="160" w:line="78" w:lineRule="atLeast"/>
        <w:ind w:firstLine="567"/>
        <w:jc w:val="both"/>
        <w:rPr>
          <w:rFonts w:eastAsia="Times New Roman"/>
          <w:color w:val="000000"/>
          <w:shd w:val="clear" w:color="auto" w:fill="FFFFFF"/>
          <w:lang w:val="ru-RU"/>
        </w:rPr>
      </w:pPr>
      <w:r>
        <w:rPr>
          <w:rFonts w:eastAsia="Times New Roman"/>
          <w:color w:val="000000"/>
          <w:shd w:val="clear" w:color="auto" w:fill="FFFFFF"/>
          <w:lang w:val="ru-RU"/>
        </w:rPr>
        <w:t>Передача ТСР Д 86 (20) К 10</w:t>
      </w:r>
    </w:p>
    <w:sectPr w:rsidR="00144780" w:rsidRPr="001447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C32D3F"/>
    <w:multiLevelType w:val="hybridMultilevel"/>
    <w:tmpl w:val="E3F23C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24686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3B"/>
    <w:rsid w:val="0003464E"/>
    <w:rsid w:val="00081D43"/>
    <w:rsid w:val="000F3AF3"/>
    <w:rsid w:val="0013038F"/>
    <w:rsid w:val="00144780"/>
    <w:rsid w:val="0015643B"/>
    <w:rsid w:val="00160B4D"/>
    <w:rsid w:val="0016216E"/>
    <w:rsid w:val="00172368"/>
    <w:rsid w:val="00191669"/>
    <w:rsid w:val="001E128D"/>
    <w:rsid w:val="001F3364"/>
    <w:rsid w:val="001F6557"/>
    <w:rsid w:val="001F7BB3"/>
    <w:rsid w:val="00234EB1"/>
    <w:rsid w:val="00241814"/>
    <w:rsid w:val="00261AFB"/>
    <w:rsid w:val="00267D8E"/>
    <w:rsid w:val="00293346"/>
    <w:rsid w:val="002B012D"/>
    <w:rsid w:val="002C3CF9"/>
    <w:rsid w:val="002C6D9C"/>
    <w:rsid w:val="002D7B4F"/>
    <w:rsid w:val="002D7ED5"/>
    <w:rsid w:val="00303003"/>
    <w:rsid w:val="00341349"/>
    <w:rsid w:val="00357040"/>
    <w:rsid w:val="00360041"/>
    <w:rsid w:val="003623B0"/>
    <w:rsid w:val="003B5FC0"/>
    <w:rsid w:val="003C5238"/>
    <w:rsid w:val="003E2587"/>
    <w:rsid w:val="003E3124"/>
    <w:rsid w:val="003F2691"/>
    <w:rsid w:val="00406211"/>
    <w:rsid w:val="00406F48"/>
    <w:rsid w:val="00414AF3"/>
    <w:rsid w:val="00433875"/>
    <w:rsid w:val="00442C6C"/>
    <w:rsid w:val="00445446"/>
    <w:rsid w:val="004B3996"/>
    <w:rsid w:val="0050095C"/>
    <w:rsid w:val="0056035F"/>
    <w:rsid w:val="00562023"/>
    <w:rsid w:val="00586227"/>
    <w:rsid w:val="005A105B"/>
    <w:rsid w:val="005B569A"/>
    <w:rsid w:val="005B642C"/>
    <w:rsid w:val="005C3BF3"/>
    <w:rsid w:val="00621F84"/>
    <w:rsid w:val="00622F90"/>
    <w:rsid w:val="00625DEB"/>
    <w:rsid w:val="006375B4"/>
    <w:rsid w:val="00646F6F"/>
    <w:rsid w:val="00695C65"/>
    <w:rsid w:val="006974D4"/>
    <w:rsid w:val="006C71B8"/>
    <w:rsid w:val="006D47E2"/>
    <w:rsid w:val="006F076C"/>
    <w:rsid w:val="006F5A50"/>
    <w:rsid w:val="007556ED"/>
    <w:rsid w:val="00760275"/>
    <w:rsid w:val="0076410B"/>
    <w:rsid w:val="007A4638"/>
    <w:rsid w:val="007B7A3A"/>
    <w:rsid w:val="007E5CAD"/>
    <w:rsid w:val="0080423B"/>
    <w:rsid w:val="00831974"/>
    <w:rsid w:val="00851DF7"/>
    <w:rsid w:val="008C7AC1"/>
    <w:rsid w:val="008D6F8E"/>
    <w:rsid w:val="008E0CCD"/>
    <w:rsid w:val="008E51CD"/>
    <w:rsid w:val="00937E2D"/>
    <w:rsid w:val="00961A69"/>
    <w:rsid w:val="00984949"/>
    <w:rsid w:val="009F5774"/>
    <w:rsid w:val="00A2047C"/>
    <w:rsid w:val="00A47758"/>
    <w:rsid w:val="00A754AC"/>
    <w:rsid w:val="00A75F08"/>
    <w:rsid w:val="00A84E95"/>
    <w:rsid w:val="00AA68C8"/>
    <w:rsid w:val="00B14A46"/>
    <w:rsid w:val="00B25A5D"/>
    <w:rsid w:val="00B5585A"/>
    <w:rsid w:val="00B605C0"/>
    <w:rsid w:val="00B83BF8"/>
    <w:rsid w:val="00BC2F8C"/>
    <w:rsid w:val="00BC5E72"/>
    <w:rsid w:val="00BE0D74"/>
    <w:rsid w:val="00BF23E2"/>
    <w:rsid w:val="00BF2A50"/>
    <w:rsid w:val="00C1023A"/>
    <w:rsid w:val="00C13DE0"/>
    <w:rsid w:val="00C220F9"/>
    <w:rsid w:val="00C34B4F"/>
    <w:rsid w:val="00C52964"/>
    <w:rsid w:val="00C97669"/>
    <w:rsid w:val="00CC0C90"/>
    <w:rsid w:val="00CD3DAE"/>
    <w:rsid w:val="00D052E3"/>
    <w:rsid w:val="00D2370C"/>
    <w:rsid w:val="00D273FE"/>
    <w:rsid w:val="00D31C80"/>
    <w:rsid w:val="00D5109A"/>
    <w:rsid w:val="00D60757"/>
    <w:rsid w:val="00D80F94"/>
    <w:rsid w:val="00DA14ED"/>
    <w:rsid w:val="00DC100B"/>
    <w:rsid w:val="00DD43FD"/>
    <w:rsid w:val="00DD6874"/>
    <w:rsid w:val="00E0087F"/>
    <w:rsid w:val="00E008AF"/>
    <w:rsid w:val="00E53E37"/>
    <w:rsid w:val="00F06AAF"/>
    <w:rsid w:val="00F1112E"/>
    <w:rsid w:val="00F46D91"/>
    <w:rsid w:val="00F80D76"/>
    <w:rsid w:val="00F91692"/>
    <w:rsid w:val="00F95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8208"/>
  <w15:chartTrackingRefBased/>
  <w15:docId w15:val="{720FCAFA-EA21-4C74-81F2-0E66D80A4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3346"/>
    <w:pPr>
      <w:spacing w:after="0" w:line="276" w:lineRule="auto"/>
    </w:pPr>
    <w:rPr>
      <w:rFonts w:ascii="Arial" w:eastAsia="Arial" w:hAnsi="Arial" w:cs="Arial"/>
      <w:kern w:val="0"/>
      <w:lang w:val="ru" w:eastAsia="ru-RU"/>
      <w14:ligatures w14:val="none"/>
    </w:rPr>
  </w:style>
  <w:style w:type="paragraph" w:styleId="1">
    <w:name w:val="heading 1"/>
    <w:basedOn w:val="a"/>
    <w:next w:val="a"/>
    <w:link w:val="10"/>
    <w:uiPriority w:val="9"/>
    <w:qFormat/>
    <w:rsid w:val="0015643B"/>
    <w:pPr>
      <w:keepNext/>
      <w:keepLines/>
      <w:spacing w:before="400" w:after="120"/>
      <w:outlineLvl w:val="0"/>
    </w:pPr>
    <w:rPr>
      <w:sz w:val="40"/>
      <w:szCs w:val="40"/>
    </w:rPr>
  </w:style>
  <w:style w:type="paragraph" w:styleId="2">
    <w:name w:val="heading 2"/>
    <w:basedOn w:val="a"/>
    <w:next w:val="a"/>
    <w:link w:val="20"/>
    <w:uiPriority w:val="9"/>
    <w:unhideWhenUsed/>
    <w:qFormat/>
    <w:rsid w:val="0015643B"/>
    <w:pPr>
      <w:keepNext/>
      <w:keepLines/>
      <w:spacing w:before="360" w:after="120"/>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643B"/>
    <w:rPr>
      <w:rFonts w:ascii="Arial" w:eastAsia="Arial" w:hAnsi="Arial" w:cs="Arial"/>
      <w:kern w:val="0"/>
      <w:sz w:val="40"/>
      <w:szCs w:val="40"/>
      <w:lang w:val="ru" w:eastAsia="ru-RU"/>
      <w14:ligatures w14:val="none"/>
    </w:rPr>
  </w:style>
  <w:style w:type="character" w:customStyle="1" w:styleId="20">
    <w:name w:val="Заголовок 2 Знак"/>
    <w:basedOn w:val="a0"/>
    <w:link w:val="2"/>
    <w:uiPriority w:val="9"/>
    <w:rsid w:val="0015643B"/>
    <w:rPr>
      <w:rFonts w:ascii="Arial" w:eastAsia="Arial" w:hAnsi="Arial" w:cs="Arial"/>
      <w:kern w:val="0"/>
      <w:sz w:val="32"/>
      <w:szCs w:val="32"/>
      <w:lang w:val="ru" w:eastAsia="ru-RU"/>
      <w14:ligatures w14:val="none"/>
    </w:rPr>
  </w:style>
  <w:style w:type="character" w:styleId="a3">
    <w:name w:val="Hyperlink"/>
    <w:basedOn w:val="a0"/>
    <w:uiPriority w:val="99"/>
    <w:unhideWhenUsed/>
    <w:rsid w:val="00C34B4F"/>
    <w:rPr>
      <w:color w:val="0000FF"/>
      <w:u w:val="single"/>
    </w:rPr>
  </w:style>
  <w:style w:type="character" w:styleId="a4">
    <w:name w:val="FollowedHyperlink"/>
    <w:basedOn w:val="a0"/>
    <w:uiPriority w:val="99"/>
    <w:semiHidden/>
    <w:unhideWhenUsed/>
    <w:rsid w:val="00C34B4F"/>
    <w:rPr>
      <w:color w:val="954F72" w:themeColor="followedHyperlink"/>
      <w:u w:val="single"/>
    </w:rPr>
  </w:style>
  <w:style w:type="character" w:styleId="a5">
    <w:name w:val="Unresolved Mention"/>
    <w:basedOn w:val="a0"/>
    <w:uiPriority w:val="99"/>
    <w:semiHidden/>
    <w:unhideWhenUsed/>
    <w:rsid w:val="00646F6F"/>
    <w:rPr>
      <w:color w:val="605E5C"/>
      <w:shd w:val="clear" w:color="auto" w:fill="E1DFDD"/>
    </w:rPr>
  </w:style>
  <w:style w:type="character" w:customStyle="1" w:styleId="docdata">
    <w:name w:val="docdata"/>
    <w:aliases w:val="docy,v5,1846,bqiaagaaeyqcaaagiaiaaanpbaaabv0eaaaaaaaaaaaaaaaaaaaaaaaaaaaaaaaaaaaaaaaaaaaaaaaaaaaaaaaaaaaaaaaaaaaaaaaaaaaaaaaaaaaaaaaaaaaaaaaaaaaaaaaaaaaaaaaaaaaaaaaaaaaaaaaaaaaaaaaaaaaaaaaaaaaaaaaaaaaaaaaaaaaaaaaaaaaaaaaaaaaaaaaaaaaaaaaaaaaaaaaa"/>
    <w:basedOn w:val="a0"/>
    <w:rsid w:val="00191669"/>
  </w:style>
  <w:style w:type="paragraph" w:styleId="a6">
    <w:name w:val="Normal (Web)"/>
    <w:basedOn w:val="a"/>
    <w:uiPriority w:val="99"/>
    <w:semiHidden/>
    <w:unhideWhenUsed/>
    <w:rsid w:val="0056035F"/>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7">
    <w:name w:val="List Paragraph"/>
    <w:basedOn w:val="a"/>
    <w:uiPriority w:val="34"/>
    <w:qFormat/>
    <w:rsid w:val="004B3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568308">
      <w:bodyDiv w:val="1"/>
      <w:marLeft w:val="0"/>
      <w:marRight w:val="0"/>
      <w:marTop w:val="0"/>
      <w:marBottom w:val="0"/>
      <w:divBdr>
        <w:top w:val="none" w:sz="0" w:space="0" w:color="auto"/>
        <w:left w:val="none" w:sz="0" w:space="0" w:color="auto"/>
        <w:bottom w:val="none" w:sz="0" w:space="0" w:color="auto"/>
        <w:right w:val="none" w:sz="0" w:space="0" w:color="auto"/>
      </w:divBdr>
    </w:div>
    <w:div w:id="504172231">
      <w:bodyDiv w:val="1"/>
      <w:marLeft w:val="0"/>
      <w:marRight w:val="0"/>
      <w:marTop w:val="0"/>
      <w:marBottom w:val="0"/>
      <w:divBdr>
        <w:top w:val="none" w:sz="0" w:space="0" w:color="auto"/>
        <w:left w:val="none" w:sz="0" w:space="0" w:color="auto"/>
        <w:bottom w:val="none" w:sz="0" w:space="0" w:color="auto"/>
        <w:right w:val="none" w:sz="0" w:space="0" w:color="auto"/>
      </w:divBdr>
    </w:div>
    <w:div w:id="607468255">
      <w:bodyDiv w:val="1"/>
      <w:marLeft w:val="0"/>
      <w:marRight w:val="0"/>
      <w:marTop w:val="0"/>
      <w:marBottom w:val="0"/>
      <w:divBdr>
        <w:top w:val="none" w:sz="0" w:space="0" w:color="auto"/>
        <w:left w:val="none" w:sz="0" w:space="0" w:color="auto"/>
        <w:bottom w:val="none" w:sz="0" w:space="0" w:color="auto"/>
        <w:right w:val="none" w:sz="0" w:space="0" w:color="auto"/>
      </w:divBdr>
    </w:div>
    <w:div w:id="741416021">
      <w:bodyDiv w:val="1"/>
      <w:marLeft w:val="0"/>
      <w:marRight w:val="0"/>
      <w:marTop w:val="0"/>
      <w:marBottom w:val="0"/>
      <w:divBdr>
        <w:top w:val="none" w:sz="0" w:space="0" w:color="auto"/>
        <w:left w:val="none" w:sz="0" w:space="0" w:color="auto"/>
        <w:bottom w:val="none" w:sz="0" w:space="0" w:color="auto"/>
        <w:right w:val="none" w:sz="0" w:space="0" w:color="auto"/>
      </w:divBdr>
    </w:div>
    <w:div w:id="1293093116">
      <w:bodyDiv w:val="1"/>
      <w:marLeft w:val="0"/>
      <w:marRight w:val="0"/>
      <w:marTop w:val="0"/>
      <w:marBottom w:val="0"/>
      <w:divBdr>
        <w:top w:val="none" w:sz="0" w:space="0" w:color="auto"/>
        <w:left w:val="none" w:sz="0" w:space="0" w:color="auto"/>
        <w:bottom w:val="none" w:sz="0" w:space="0" w:color="auto"/>
        <w:right w:val="none" w:sz="0" w:space="0" w:color="auto"/>
      </w:divBdr>
    </w:div>
    <w:div w:id="1704014364">
      <w:bodyDiv w:val="1"/>
      <w:marLeft w:val="0"/>
      <w:marRight w:val="0"/>
      <w:marTop w:val="0"/>
      <w:marBottom w:val="0"/>
      <w:divBdr>
        <w:top w:val="none" w:sz="0" w:space="0" w:color="auto"/>
        <w:left w:val="none" w:sz="0" w:space="0" w:color="auto"/>
        <w:bottom w:val="none" w:sz="0" w:space="0" w:color="auto"/>
        <w:right w:val="none" w:sz="0" w:space="0" w:color="auto"/>
      </w:divBdr>
    </w:div>
    <w:div w:id="1709648860">
      <w:bodyDiv w:val="1"/>
      <w:marLeft w:val="0"/>
      <w:marRight w:val="0"/>
      <w:marTop w:val="0"/>
      <w:marBottom w:val="0"/>
      <w:divBdr>
        <w:top w:val="none" w:sz="0" w:space="0" w:color="auto"/>
        <w:left w:val="none" w:sz="0" w:space="0" w:color="auto"/>
        <w:bottom w:val="none" w:sz="0" w:space="0" w:color="auto"/>
        <w:right w:val="none" w:sz="0" w:space="0" w:color="auto"/>
      </w:divBdr>
    </w:div>
    <w:div w:id="2026057446">
      <w:bodyDiv w:val="1"/>
      <w:marLeft w:val="0"/>
      <w:marRight w:val="0"/>
      <w:marTop w:val="0"/>
      <w:marBottom w:val="0"/>
      <w:divBdr>
        <w:top w:val="none" w:sz="0" w:space="0" w:color="auto"/>
        <w:left w:val="none" w:sz="0" w:space="0" w:color="auto"/>
        <w:bottom w:val="none" w:sz="0" w:space="0" w:color="auto"/>
        <w:right w:val="none" w:sz="0" w:space="0" w:color="auto"/>
      </w:divBdr>
    </w:div>
    <w:div w:id="2120879007">
      <w:bodyDiv w:val="1"/>
      <w:marLeft w:val="0"/>
      <w:marRight w:val="0"/>
      <w:marTop w:val="0"/>
      <w:marBottom w:val="0"/>
      <w:divBdr>
        <w:top w:val="none" w:sz="0" w:space="0" w:color="auto"/>
        <w:left w:val="none" w:sz="0" w:space="0" w:color="auto"/>
        <w:bottom w:val="none" w:sz="0" w:space="0" w:color="auto"/>
        <w:right w:val="none" w:sz="0" w:space="0" w:color="auto"/>
      </w:divBdr>
    </w:div>
    <w:div w:id="213498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836</TotalTime>
  <Pages>3</Pages>
  <Words>786</Words>
  <Characters>4482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Савкова</dc:creator>
  <cp:keywords/>
  <dc:description/>
  <cp:lastModifiedBy>Людмила Савкова</cp:lastModifiedBy>
  <cp:revision>144</cp:revision>
  <cp:lastPrinted>2023-10-17T05:15:00Z</cp:lastPrinted>
  <dcterms:created xsi:type="dcterms:W3CDTF">2024-01-16T06:54:00Z</dcterms:created>
  <dcterms:modified xsi:type="dcterms:W3CDTF">2024-06-18T07:47:00Z</dcterms:modified>
</cp:coreProperties>
</file>