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6"/>
        </w:rPr>
        <w:t xml:space="preserve">Вопросы к вебинару 14 мая 2024 г. (вторник)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 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f0f0f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f0f0f"/>
          <w:sz w:val="36"/>
        </w:rPr>
        <w:t xml:space="preserve">1. Елена Николаевна Ж.</w:t>
      </w:r>
      <w:r>
        <w:rPr>
          <w:rFonts w:ascii="Times New Roman" w:hAnsi="Times New Roman" w:eastAsia="Times New Roman" w:cs="Times New Roman"/>
          <w:color w:val="0f0f0f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f0f0f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36"/>
        </w:rPr>
        <w:t xml:space="preserve">НЕВЕРОВ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Частью 5 статьи 123.24 ГК РФ предусмотрено, </w:t>
      </w:r>
      <w:r>
        <w:rPr>
          <w:rFonts w:ascii="Times New Roman" w:hAnsi="Times New Roman" w:eastAsia="Times New Roman" w:cs="Times New Roman"/>
          <w:color w:val="0f0f0f"/>
          <w:sz w:val="36"/>
        </w:rPr>
        <w:t xml:space="preserve">что автономная некоммерческая организация вправе заниматься 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предпринимательской деятельностью, создавая для её осуществления хозяйственные общества или участвуя в них. </w:t>
      </w:r>
      <w:r>
        <w:rPr>
          <w:rFonts w:ascii="Times New Roman" w:hAnsi="Times New Roman" w:eastAsia="Times New Roman" w:cs="Times New Roman"/>
          <w:color w:val="0f0f0f"/>
          <w:sz w:val="36"/>
        </w:rPr>
        <w:t xml:space="preserve">В 228-ом вебинаре КБА НКО от 26.03.2024 «Создаём НКО: от идеи до регистрации», экспертом по данной статье был дан короткий комментарий. К сожалению, из комментария не ясно, каков механизм взаимодействия НКО и созданного им хозяйственного общества. 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Наша НКО планирует осуществлять коммерческую деятельность в ближайшем будущем. В том числе, для этих целей рассматриваем вариант учреждения ООО. В этой связи прошу подробно осветить механизм взаимодействия НКО и хозяйственного общества, в том числе механиз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м получения НКО прибыли. По возможности, хотелось бы узнать о «живых» примерах подобного взаимодействия и ознакомиться с их опытом.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 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2. Евгения Валерьевна К.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</w:p>
    <w:p>
      <w:pPr>
        <w:ind w:left="0" w:right="0" w:firstLine="708"/>
        <w:jc w:val="both"/>
        <w:spacing w:line="22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ff00"/>
          <w:sz w:val="36"/>
        </w:rPr>
        <w:t xml:space="preserve">САВКОВА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о время просмотра на вашем канале вебинара юриста о договорах пожертвования, я услышала рекомендацию о том, что волонтёр НКО может принимать пожертвования на свою карту, как агент, при последующем отчете за полученные средства. Я в некотором замешательстве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 от подобного трактовки закона. Скажите, пожалуйста, как на подобную практику смотрят аудиторы? Допустимо ли принимать пожертвования на карту физ. лица и как их потом передавать НКО? Каким образом проводить по бухучету?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f0f0f"/>
          <w:sz w:val="36"/>
          <w:highlight w:val="none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3. Марина В.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</w:p>
    <w:p>
      <w:pPr>
        <w:ind w:left="0" w:right="0" w:firstLine="708"/>
        <w:spacing w:line="22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ff"/>
          <w:sz w:val="36"/>
        </w:rPr>
        <w:t xml:space="preserve">ШАРОНОВА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Как 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должны выглядеть ПВТР (правила внутреннего трудового распорядка) в ситуации, когда штатный сотрудник один (руководитель, ведущий бухгалтерский учет) и с ним подписан трудовой договор о постоянной дистанционной работе? Офиса у организации нет, только юридич</w:t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еский адрес (по месту проживания руководителя).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4. Светлана М.</w:t>
      </w:r>
      <w:r/>
    </w:p>
    <w:p>
      <w:pPr>
        <w:ind w:left="0" w:right="0" w:firstLine="708"/>
        <w:jc w:val="both"/>
        <w:spacing w:line="229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ff00"/>
          <w:sz w:val="36"/>
        </w:rPr>
        <w:t xml:space="preserve">ГАМОЛЬСКИЙ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При проведении проверки БФО благотворительного фонда за 2023 год аудиторы сделали замечание: «Выявлены остатки ТМЦ по состоянию на 31.12.2023, подлежавшие включению в расходы по уставной деятельности в момент их приобретения, так как они запланированы к да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льнейшей безвозмездной передаче благополучателям. В связи с тем, согласно действующему законодательству РФ, такие запасы к бухгалтерскому учёту не принимаются, то Обществу следует отразить движение по таким запасам на забалансовых счетах». Аудиторы сказали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 устранить данное нарушение, отразив в БФО за 2023 год в целевых расходах стоимость всех ТМЦ, предназначенных для безвозмездной передачи подопечным.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Правы ли аудиторы, может ли благотворительный фонд отражать целевые расходы не в момент передачи ТМЦ подопечным и подписания акта безвозмездной передачи по договору пожертвования, а в момент оплаты и получения ТМЦ у поставщиков? 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Можно ли предусмотреть учетной политикой ведение учета приобретенных за счет пожертвований ТМЦ на балансовых счетах (и каких) до момента передачи подопечным? 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Каков механизм взаимодействия с аудитором, если организация категорически не согласна с рекомендациями аудитора, а аудитор настаивает на их выполнении?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Может ли аудитор отказаться выдать аудиторское заключение?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  <w:t xml:space="preserve">Можно ли каким-то образом обжаловать действия аудитора, в т.ч. в ситуации, когда аудитор необоснованно (по мнению организации) выдал модифицированное аудиторское заключение?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5. Анастасия Я.</w:t>
      </w:r>
      <w:r/>
    </w:p>
    <w:p>
      <w:pPr>
        <w:ind w:left="0" w:right="0" w:firstLine="708"/>
        <w:jc w:val="both"/>
        <w:spacing w:line="229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ff00"/>
          <w:sz w:val="36"/>
        </w:rPr>
        <w:t xml:space="preserve">САВКОВА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1) АНО применяет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</w:rPr>
        <w:t xml:space="preserve">ФСБУ 6/2020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 с начала 2022г.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На 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балансе организации имеются основные средства в виде ноутбуков, полученных по договору пожертвования в 2021г. В 2021 начислялся физический износ по данным основным средствам, с 2022 г. начисляется амортизация. В мае 2023 г. основные средства полностью амор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тизированы и остаточная стоимость составила 0 рублей.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Основные средства в организации продолжают использоваться, что подтверждается приобретением программного обеспечения в марте 2023г, предусматривающего как минимум еще год использовать данные основные средства.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Вопрос: 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Должна ли организация пересмотреть срок полезного использования данных основных средств и когда, с учетом применения ФСБУ 6/2020?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2) 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АНО применяет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</w:rPr>
        <w:t xml:space="preserve">ФСБУ 25/2018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 с начала 2022г. 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 АНО заключен в январе 2022г договор безвозмездного пользования имуществом, а именно нежилым помещением с администрацией городского округа. В договоре указаны справедливая рыночная стоимость имущества (аренда за год 500 000 р) и не определен срок действия 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договора, указана лишь дата начала действия договора. Также в договоре не предусмотрен переход права собственности на предмет аренды к арендатору.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Договор содержит следующую формулировку «Не передавать Имущество в пользование третьим лицам без письменного согласия Ссудодателя.».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АНО как некоммерческая организация, вправе применять упрощенные способы ведения бухгалтерского учета, включая упрощенную отчетность.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Вопрос: 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Может ли организация отказаться от бухучета аренды данного договора по ФСБУ 25/2018 и не признавать предмет аренды в качестве права пользования активом? Каким образом данный договор должен быть отражен в учете?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 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6. Альфия Ш.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ff00"/>
          <w:sz w:val="36"/>
        </w:rPr>
        <w:t xml:space="preserve">ГАМОЛЬСКИЙ</w:t>
      </w:r>
      <w:r>
        <w:rPr>
          <w:rFonts w:ascii="Times New Roman" w:hAnsi="Times New Roman" w:eastAsia="Times New Roman" w:cs="Times New Roman"/>
          <w:color w:val="000000"/>
          <w:sz w:val="36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Наш благотворительный фонд (далее Фонд) на УСН 6%, применяет пониженные тарифы страховых взносов. Не имеет обособленным подразделений в виде филиалов и представительств. Является социально-ориентированной НКО и получателем грантов, в т.ч. грантов ФПГ.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Фонд желает получить образовательную лицензию, в связи с чем вопросы: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Может ли благотворительный фонд иметь образовательную лицензию?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При получении образовательной лицензии благотворительным фондом по юр.адресу, какие налоговые риски следует учесть? сохранится ли УСН, будет ли возможность применять пониженные тарифы страховых взносов, возможно есть другие риски, о которых мы на данном эт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апе не знаем?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При получении образовательной лицензии благотворительным фондом по другому адресу (если юр.адрес не подойдет по критериям), тогда придется арендовать другое помещение для получения лицензии и тогда уже придется создать представительство или филиал и тогда 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есть риски лишиться УСН и пониженных тарифов страховых взносов?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Возможно есть более простой вариант получения лицензии и менее рискованный для благотворительного фонда?</w:t>
      </w:r>
      <w:r/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 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7. Мария С.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  <w:highlight w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Некоммерческая организация дополнительного профессионального образования, имеет образовательную лицензию.</w:t>
        <w:br/>
        <w:tab/>
        <w:t xml:space="preserve">Проводит обучающие мероприятия на платной основе и бесплатно, согласно социальной программе, утвержденной высшим органом управления. Бесплатные меро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приятия проводятся в основном по соглашениям о сотрудничестве, в рамках которых происходит повышение квалификации или профессиональная переподготовка для физ.лиц.</w:t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У нашей организации упрощённая система налогообложения «доходы». Согласно учетной политике мы используем упрощенные методы бухгалтерского учета.</w:t>
        <w:br/>
        <w:tab/>
        <w:t xml:space="preserve">Платные образовательные услуги отражаются, как выручка (90.01), прибыль от которых идёт на расходы целевых м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ероприятий.</w:t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Так как организация молодая (нет 1 года), то нет права получать гранты, субсидии и пр. Получается, что на счет 86 «Целевое финансирование», попадает только со счета 84 «Нераспределённая прибыль».</w:t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В организации используются затратные счета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:</w:t>
        <w:br/>
        <w:t xml:space="preserve">  20.03 для некоммерческой деятельности,</w:t>
        <w:br/>
        <w:t xml:space="preserve">  20.01 для коммерческой деятельности (платные образовательные услуги),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26, куда относятся административно-управленческие расходы. </w:t>
        <w:br/>
        <w:tab/>
        <w:t xml:space="preserve">Подскажите, по тем физ.лицам, которые получают образование в рамках нашей социальной некоммерческой программы, не нужно никак отражать информацию на счете 86? Кроме, как закрытия затрат с 20.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03 на 86.02? Получается, что раздел 3 декларации по УСН у нас никак не будет заполнен? А также раздел РСВ для подтверждения пониженных тарифов тоже не будет заполняться по некоммерческим доходам (только доходы согласно пп.51 ст.427)? А также мы АНО, а знач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ит не отправляем в МинЮст России отчет в произвольной форме о благотворительной деятельности. Получается, что по отчетности мы нигде не показываем, (кроме как в балансе «отчет о целевом использовании средств» и только в плане расходов), нашу некоммерческую</w:t>
      </w:r>
      <w:r>
        <w:rPr>
          <w:rFonts w:ascii="Times New Roman" w:hAnsi="Times New Roman" w:eastAsia="Times New Roman" w:cs="Times New Roman"/>
          <w:color w:val="000000"/>
          <w:sz w:val="36"/>
        </w:rPr>
        <w:t xml:space="preserve"> деятельность?</w:t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Есть ли нам какой-то смысл оценивать соглашения о сотрудничестве и делать начисления на счет 86 по стоимости как платные образовательные услуги?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9">
    <w:name w:val="Heading 1 Char"/>
    <w:link w:val="658"/>
    <w:uiPriority w:val="9"/>
    <w:rPr>
      <w:rFonts w:ascii="Liberation Sans" w:hAnsi="Liberation Sans" w:eastAsia="Liberation Sans" w:cs="Liberation Sans"/>
    </w:rPr>
  </w:style>
  <w:style w:type="paragraph" w:styleId="660">
    <w:name w:val="Heading 2"/>
    <w:basedOn w:val="658"/>
    <w:next w:val="834"/>
    <w:link w:val="661"/>
    <w:uiPriority w:val="9"/>
    <w:unhideWhenUsed/>
    <w:qFormat/>
    <w:rPr>
      <w:rFonts w:ascii="Liberation Sans" w:hAnsi="Liberation Sans" w:eastAsia="Liberation Sans" w:cs="Liberation Sans"/>
    </w:rPr>
  </w:style>
  <w:style w:type="character" w:styleId="661">
    <w:name w:val="Heading 2 Char"/>
    <w:link w:val="660"/>
    <w:uiPriority w:val="9"/>
    <w:rPr>
      <w:rFonts w:ascii="Liberation Sans" w:hAnsi="Liberation Sans" w:eastAsia="Liberation Sans" w:cs="Liberation Sans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3">
    <w:name w:val="Heading 3 Char"/>
    <w:link w:val="662"/>
    <w:uiPriority w:val="9"/>
    <w:rPr>
      <w:rFonts w:ascii="Liberation Sans" w:hAnsi="Liberation Sans" w:cs="Liberation Sans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uiPriority w:val="1"/>
    <w:qFormat/>
    <w:pPr>
      <w:spacing w:after="0" w:line="240" w:lineRule="auto"/>
    </w:pPr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9</cp:revision>
  <dcterms:modified xsi:type="dcterms:W3CDTF">2024-05-14T06:51:36Z</dcterms:modified>
</cp:coreProperties>
</file>