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550" w:rsidRPr="00882D00" w:rsidRDefault="0000000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000000"/>
          <w:sz w:val="36"/>
          <w:szCs w:val="36"/>
        </w:rPr>
        <w:t>Вопросы к вебинару 16 апреля 2024 г. (вторник)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D00">
        <w:rPr>
          <w:rFonts w:ascii="Times New Roman" w:hAnsi="Times New Roman" w:cs="Times New Roman"/>
          <w:sz w:val="36"/>
          <w:szCs w:val="36"/>
        </w:rPr>
        <w:t>1. Светлана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D0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НЕВЕРОВ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Помогите разобраться в данном вопросе, т.к. существуют разные мнения...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/>
        <w:ind w:left="105" w:right="105" w:firstLine="54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882D00">
        <w:rPr>
          <w:rFonts w:ascii="Times New Roman" w:eastAsia="Times New Roman" w:hAnsi="Times New Roman" w:cs="Times New Roman"/>
          <w:b/>
          <w:color w:val="2C2D2E"/>
          <w:sz w:val="36"/>
          <w:szCs w:val="36"/>
          <w:highlight w:val="white"/>
        </w:rPr>
        <w:t>Вопрос: </w:t>
      </w:r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  <w:highlight w:val="white"/>
        </w:rPr>
        <w:t xml:space="preserve">АНО - социально ориентированная некоммерческая организация осуществляет деятельность по социальному обслуживанию, социальной поддержке и защите граждан. </w:t>
      </w:r>
      <w:proofErr w:type="gramStart"/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  <w:highlight w:val="white"/>
        </w:rPr>
        <w:t>Организация  включена</w:t>
      </w:r>
      <w:proofErr w:type="gramEnd"/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  <w:highlight w:val="white"/>
        </w:rPr>
        <w:t xml:space="preserve"> в реестр поставщиков социальных услуг Краснодарского края. АНО оказывает услуги исключительно социального направления в соответствии с Уставной деятельностью, подписывает Акты и договоры с получателями (родителями детей-инвалидов), в которых прописаны тарифы и суммы услуг, но способ предоставления - бесплатно. Предпринимательская деятельность не ведётся.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/>
        <w:ind w:left="105" w:right="105" w:firstLine="54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  <w:highlight w:val="white"/>
        </w:rPr>
        <w:t>  Министерство труда и социальной защиты Краснодарского края оказывает поддержку социально ориентированным некоммерческим организациям, осуществляющим в соответствии с учредительными документами деятельность по социальному обслуживанию, социальной поддержке и защите граждан. Оказание поддержки осуществляется, в частности, в финансовой форме за счёт бюджетных ассигнований путем предоставления субсидий.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/>
        <w:ind w:left="105" w:right="10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  <w:highlight w:val="white"/>
        </w:rPr>
        <w:lastRenderedPageBreak/>
        <w:t>   В соответствии со статьёй 78.1 Бюджетного кодекса Российской Федерации, Законом Краснодарского края от 20 декабря 2023 г. № 5053-КЗ «О бюджете Краснодарского края на 2024 год и на плановый период 2025 и 2026 годов», приказом министерства труда и социального развития Краснодарского края от 30 декабря 2022 г. № 2336 «Об организации работы при предоставлении компенсации в виде субсидии на возмещение затрат, связанных с оказанием социальных услуг, из бюджета Краснодарского края поставщикам социальных услуг» в целях реализации государственной программы Краснодарского края «Социальная поддержка граждан», утвержденной постановлением главы администрации (губернатора) Краснодарского края от 5 октября 2015 г. № 938, предоставляются субсидии с целью финансового обеспечения затрат организаций в связи с оказанием социальных услуг гражданам, признанным нуждающимися в социальном обслуживании в полустационарной форме.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  <w:highlight w:val="white"/>
        </w:rPr>
        <w:t>Предметом Соглашения является предоставление Уполномоченным органом из бюджета Краснодарского края Получателю компенсации в виде </w:t>
      </w:r>
      <w:r w:rsidRPr="00882D00">
        <w:rPr>
          <w:rFonts w:ascii="Times New Roman" w:eastAsia="Times New Roman" w:hAnsi="Times New Roman" w:cs="Times New Roman"/>
          <w:b/>
          <w:color w:val="2C2D2E"/>
          <w:sz w:val="36"/>
          <w:szCs w:val="36"/>
          <w:highlight w:val="white"/>
        </w:rPr>
        <w:t>субсидии в целях возмещения фактически понесенных затрат, связанных с предоставлением социальных услуг</w:t>
      </w:r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  <w:highlight w:val="white"/>
        </w:rPr>
        <w:t>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  <w:highlight w:val="white"/>
        </w:rPr>
        <w:t>Являются ли предоставленные субсидии целевыми поступлениями или подлежат налогообложению?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2. Маргарита Николаевна К.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D00">
        <w:rPr>
          <w:rFonts w:ascii="Times New Roman" w:eastAsia="Asana" w:hAnsi="Times New Roman" w:cs="Times New Roman"/>
          <w:b/>
          <w:color w:val="FFFF00"/>
          <w:sz w:val="36"/>
          <w:szCs w:val="36"/>
        </w:rPr>
        <w:t>САВКОВА</w:t>
      </w:r>
    </w:p>
    <w:p w:rsidR="00E635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lastRenderedPageBreak/>
        <w:t>Фонд с декабря 2023 перешел на ФСБУ 25/2018 в части ППА (право пользования активом на 24 мес.). Аудиторами рекомендовано было в 2024 года </w:t>
      </w:r>
      <w:r w:rsidRPr="00882D00">
        <w:rPr>
          <w:rFonts w:ascii="Times New Roman" w:eastAsia="Arial" w:hAnsi="Times New Roman" w:cs="Times New Roman"/>
          <w:b/>
          <w:color w:val="2C2D2E"/>
          <w:sz w:val="36"/>
          <w:szCs w:val="36"/>
        </w:rPr>
        <w:t>перспективно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 исправить отражение ППА на счете 76.6 "Расчеты с разными дебиторами и кредиторами" (V Краткосрочные обязательства с переносом части суммы на IV Долгосрочные обязательства в Балансе (строки 1520 (22) на 1450 (51)). Сумма ППА 1396 тыс. руб. была отражена проводкой Д-т 01 К-т 76.6, часть аренды была списана в сумме 58 тыс. руб.  проводкой Д-т 86 К-т 76.6. Остаток составил 1338 тыс. руб.  на 31.12.2023. Необходимо ли делать это исправление, если на 31.12.2024 останется 12 мес. до погашения обязательства?</w:t>
      </w:r>
    </w:p>
    <w:p w:rsidR="00512C75" w:rsidRPr="00512C75" w:rsidRDefault="00512C75" w:rsidP="00512C75">
      <w:pPr>
        <w:spacing w:after="0" w:line="240" w:lineRule="auto"/>
        <w:rPr>
          <w:rFonts w:ascii="Times New Roman" w:eastAsia="Arial" w:hAnsi="Times New Roman" w:cs="Times New Roman"/>
          <w:b/>
          <w:bCs/>
          <w:color w:val="2C2D2E"/>
          <w:sz w:val="36"/>
          <w:szCs w:val="36"/>
        </w:rPr>
      </w:pPr>
      <w:r w:rsidRPr="00512C75">
        <w:rPr>
          <w:rFonts w:ascii="Times New Roman" w:eastAsia="Arial" w:hAnsi="Times New Roman" w:cs="Times New Roman"/>
          <w:b/>
          <w:bCs/>
          <w:color w:val="2C2D2E"/>
          <w:sz w:val="36"/>
          <w:szCs w:val="36"/>
        </w:rPr>
        <w:t>Уточнение проводок к Вопросу.</w:t>
      </w:r>
    </w:p>
    <w:p w:rsidR="00512C75" w:rsidRPr="00512C75" w:rsidRDefault="00512C75" w:rsidP="00512C75">
      <w:pPr>
        <w:spacing w:after="0" w:line="240" w:lineRule="auto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01 - 08.4      Расчет ППА 1396 </w:t>
      </w:r>
      <w:proofErr w:type="spellStart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тр</w:t>
      </w:r>
      <w:proofErr w:type="spellEnd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, 24 мес., на 01.12.2023, Договор аренды нов.</w:t>
      </w:r>
    </w:p>
    <w:p w:rsidR="00512C75" w:rsidRPr="00512C75" w:rsidRDefault="00512C75" w:rsidP="00512C75">
      <w:pPr>
        <w:spacing w:after="0" w:line="240" w:lineRule="auto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08.4 - 76.6   Отражено ППА 1396 </w:t>
      </w:r>
      <w:proofErr w:type="spellStart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тр</w:t>
      </w:r>
      <w:proofErr w:type="spellEnd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, 24 мес.</w:t>
      </w:r>
    </w:p>
    <w:p w:rsidR="00512C75" w:rsidRPr="00512C75" w:rsidRDefault="00512C75" w:rsidP="00512C75">
      <w:pPr>
        <w:spacing w:after="0" w:line="240" w:lineRule="auto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76.5 - 51      Перечислен арендный </w:t>
      </w:r>
      <w:proofErr w:type="gramStart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платеж,  66</w:t>
      </w:r>
      <w:proofErr w:type="gramEnd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 </w:t>
      </w:r>
      <w:proofErr w:type="spellStart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тр</w:t>
      </w:r>
      <w:proofErr w:type="spellEnd"/>
    </w:p>
    <w:p w:rsidR="00512C75" w:rsidRPr="00512C75" w:rsidRDefault="00512C75" w:rsidP="00512C75">
      <w:pPr>
        <w:spacing w:after="0" w:line="240" w:lineRule="auto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76.6 - 76.5   Начислен арендный платеж 12/</w:t>
      </w:r>
      <w:proofErr w:type="gramStart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2023  58</w:t>
      </w:r>
      <w:proofErr w:type="gramEnd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 </w:t>
      </w:r>
      <w:proofErr w:type="spellStart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тр</w:t>
      </w:r>
      <w:proofErr w:type="spellEnd"/>
    </w:p>
    <w:p w:rsidR="00512C75" w:rsidRPr="00512C75" w:rsidRDefault="00512C75" w:rsidP="00512C75">
      <w:pPr>
        <w:spacing w:after="0" w:line="240" w:lineRule="auto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86 - 02.1      Начислена амортизация 58 </w:t>
      </w:r>
      <w:proofErr w:type="spellStart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тр</w:t>
      </w:r>
      <w:proofErr w:type="spellEnd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 12/2023</w:t>
      </w:r>
    </w:p>
    <w:p w:rsidR="00512C75" w:rsidRPr="00512C75" w:rsidRDefault="00512C75" w:rsidP="00512C75">
      <w:pPr>
        <w:spacing w:after="0" w:line="240" w:lineRule="auto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86 - 76.5      Отражена ставка дисконт. 12,13</w:t>
      </w:r>
      <w:proofErr w:type="gramStart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%  8</w:t>
      </w:r>
      <w:proofErr w:type="gramEnd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 </w:t>
      </w:r>
      <w:proofErr w:type="spellStart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>тр</w:t>
      </w:r>
      <w:proofErr w:type="spellEnd"/>
      <w:r w:rsidRPr="00512C75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 12/2023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3. Анна Сергеевна Т.</w:t>
      </w:r>
    </w:p>
    <w:p w:rsidR="00E63550" w:rsidRPr="00882D00" w:rsidRDefault="00000000">
      <w:pPr>
        <w:ind w:firstLine="708"/>
        <w:rPr>
          <w:rFonts w:ascii="Times New Roman" w:hAnsi="Times New Roman" w:cs="Times New Roman"/>
        </w:rPr>
      </w:pPr>
      <w:r w:rsidRPr="00882D00">
        <w:rPr>
          <w:rFonts w:ascii="Times New Roman" w:eastAsia="Asana" w:hAnsi="Times New Roman" w:cs="Times New Roman"/>
          <w:b/>
          <w:color w:val="FF00FF"/>
          <w:sz w:val="36"/>
        </w:rPr>
        <w:t>ШАРОНОВА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  <w:highlight w:val="white"/>
        </w:rPr>
        <w:t xml:space="preserve">Мы НКО на ОСНО, никакой коммерческой деятельности не ведём. Все средства, которые поступают, носят целевой характер. Подали иск в суд на членов нашей Ассоциации о взыскании членских взносов, уплатив госпошлину из целевых средств. Соответственно никакие расходы в налоговом учете на госпошлину не отражались. Выиграли суд, но судебное решение пока не исполнено. 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  <w:highlight w:val="white"/>
        </w:rPr>
        <w:lastRenderedPageBreak/>
        <w:t>Должны ли мы начислить доход в целях учета налога на прибыль на госпошлину, которую суд присудил нам компенсировать с ответчика? Если да, то в какой момент - в день вступления в силу судебного решения? 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4. Татьяна Сергеевна Ц.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Arial" w:hAnsi="Times New Roman" w:cs="Times New Roman"/>
          <w:color w:val="222222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22222"/>
          <w:sz w:val="36"/>
          <w:szCs w:val="36"/>
        </w:rPr>
        <w:t>Сделали ремонт арендуемого помещения (неотделимые улучшения) без компенсации затрат арендодателем. Затраты на ремонт учитывали как капитальные вложения на счете 08, затем ввели в эксплуатации на счет 01 как основные средства.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FFFF00"/>
          <w:sz w:val="36"/>
        </w:rPr>
        <w:t>САВКОВА</w:t>
      </w:r>
    </w:p>
    <w:p w:rsidR="00E63550" w:rsidRPr="00882D00" w:rsidRDefault="00000000" w:rsidP="00882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Arial" w:hAnsi="Times New Roman" w:cs="Times New Roman"/>
          <w:color w:val="222222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22222"/>
          <w:sz w:val="36"/>
          <w:szCs w:val="36"/>
        </w:rPr>
        <w:t xml:space="preserve">1) Имеет ли значение стоимостной лимит неотделимых улучшений для учета их в качестве основных средств (в учётной политике установлен лимит для признания ОС стоимостью более 100 000 </w:t>
      </w:r>
      <w:proofErr w:type="spellStart"/>
      <w:r w:rsidRPr="00882D00">
        <w:rPr>
          <w:rFonts w:ascii="Times New Roman" w:eastAsia="Arial" w:hAnsi="Times New Roman" w:cs="Times New Roman"/>
          <w:color w:val="222222"/>
          <w:sz w:val="36"/>
          <w:szCs w:val="36"/>
        </w:rPr>
        <w:t>руб</w:t>
      </w:r>
      <w:proofErr w:type="spellEnd"/>
      <w:r w:rsidRPr="00882D00">
        <w:rPr>
          <w:rFonts w:ascii="Times New Roman" w:eastAsia="Arial" w:hAnsi="Times New Roman" w:cs="Times New Roman"/>
          <w:color w:val="222222"/>
          <w:sz w:val="36"/>
          <w:szCs w:val="36"/>
        </w:rPr>
        <w:t>)?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34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00FF00"/>
          <w:sz w:val="36"/>
        </w:rPr>
        <w:t>ГАМОЛЬСКИЙ</w:t>
      </w:r>
    </w:p>
    <w:p w:rsidR="00E63550" w:rsidRPr="00882D00" w:rsidRDefault="00000000" w:rsidP="00882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Arial" w:hAnsi="Times New Roman" w:cs="Times New Roman"/>
          <w:color w:val="222222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22222"/>
          <w:sz w:val="36"/>
          <w:szCs w:val="36"/>
        </w:rPr>
        <w:t>2) Нужно ли облагать налогом на имущество такие неотделимые улучшения по среднегодовой стоимости, если мы применяем УСНО (доходы)?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5. Евгения Валерьевна К.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НЕВЕРОВ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lastRenderedPageBreak/>
        <w:t>1) Есть ли у аудиторов практика толкования понятия «содействие» в деятельности благотворительной организации?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Можно ли к данному понятию отнести оказание благотворительной помощи финансами или имуществом другим </w:t>
      </w:r>
      <w:proofErr w:type="gramStart"/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некоммерческим  организациям</w:t>
      </w:r>
      <w:proofErr w:type="gramEnd"/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?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Обращают ли внимание аудиторы на соответствие фактических видов деятельности и прямому толкованию положений предмета деятельности благотворительного фонда? Или допускается обобщенное толкование?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Допустимо ли толковать «объединения граждан, деятельность которых направлена на участие в решении социальных проблем» как деятельность некоммерческих организаций (которые тоже являются по сути объединением людей, формой деятельности гражданского общества)?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Calibri" w:hAnsi="Times New Roman" w:cs="Times New Roman"/>
          <w:color w:val="2C2D2E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2) в уставе благотворительного фонда прописано: «</w:t>
      </w:r>
      <w:r w:rsidRPr="00882D00">
        <w:rPr>
          <w:rFonts w:ascii="Times New Roman" w:eastAsia="Calibri" w:hAnsi="Times New Roman" w:cs="Times New Roman"/>
          <w:color w:val="2C2D2E"/>
          <w:sz w:val="36"/>
          <w:szCs w:val="36"/>
        </w:rPr>
        <w:t>Оказание благотворительной помощи </w:t>
      </w:r>
      <w:r w:rsidRPr="00882D00">
        <w:rPr>
          <w:rFonts w:ascii="Times New Roman" w:eastAsia="Calibri" w:hAnsi="Times New Roman" w:cs="Times New Roman"/>
          <w:b/>
          <w:color w:val="2C2D2E"/>
          <w:sz w:val="36"/>
          <w:szCs w:val="36"/>
          <w:u w:val="single"/>
        </w:rPr>
        <w:t>социально-ориентированным</w:t>
      </w:r>
      <w:r w:rsidR="00882D00">
        <w:rPr>
          <w:rFonts w:ascii="Times New Roman" w:eastAsia="Calibri" w:hAnsi="Times New Roman" w:cs="Times New Roman"/>
          <w:b/>
          <w:color w:val="2C2D2E"/>
          <w:sz w:val="36"/>
          <w:szCs w:val="36"/>
          <w:u w:val="single"/>
        </w:rPr>
        <w:t xml:space="preserve"> </w:t>
      </w:r>
      <w:r w:rsidRPr="00882D00">
        <w:rPr>
          <w:rFonts w:ascii="Times New Roman" w:eastAsia="Calibri" w:hAnsi="Times New Roman" w:cs="Times New Roman"/>
          <w:b/>
          <w:color w:val="2C2D2E"/>
          <w:sz w:val="36"/>
          <w:szCs w:val="36"/>
          <w:u w:val="single"/>
        </w:rPr>
        <w:t>учреждениям</w:t>
      </w:r>
      <w:r w:rsidRPr="00882D00">
        <w:rPr>
          <w:rFonts w:ascii="Times New Roman" w:eastAsia="Calibri" w:hAnsi="Times New Roman" w:cs="Times New Roman"/>
          <w:color w:val="2C2D2E"/>
          <w:sz w:val="36"/>
          <w:szCs w:val="36"/>
        </w:rPr>
        <w:t xml:space="preserve"> путём передачи материальных ценностей» Фактически, помощь оказывалась благотворительным </w:t>
      </w:r>
      <w:proofErr w:type="gramStart"/>
      <w:r w:rsidRPr="00882D00">
        <w:rPr>
          <w:rFonts w:ascii="Times New Roman" w:eastAsia="Calibri" w:hAnsi="Times New Roman" w:cs="Times New Roman"/>
          <w:color w:val="2C2D2E"/>
          <w:sz w:val="36"/>
          <w:szCs w:val="36"/>
        </w:rPr>
        <w:t>фондам  (</w:t>
      </w:r>
      <w:proofErr w:type="gramEnd"/>
      <w:r w:rsidRPr="00882D00">
        <w:rPr>
          <w:rFonts w:ascii="Times New Roman" w:eastAsia="Calibri" w:hAnsi="Times New Roman" w:cs="Times New Roman"/>
          <w:color w:val="2C2D2E"/>
          <w:sz w:val="36"/>
          <w:szCs w:val="36"/>
        </w:rPr>
        <w:t>то есть иным, чем учреждениям, некоммерческим организациям), причем, оказывающим помощь военнослужащим СВО. В целях и предмете деятельности устава БФ прямо не прописано помощь военнослужащим СВО. Вправе ли БФ оказывать подобную помощь?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00FF00"/>
          <w:sz w:val="36"/>
        </w:rPr>
        <w:t>ГАМОЛЬСКИЙ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882D00">
        <w:rPr>
          <w:rFonts w:ascii="Times New Roman" w:eastAsia="Calibri" w:hAnsi="Times New Roman" w:cs="Times New Roman"/>
          <w:color w:val="2C2D2E"/>
          <w:sz w:val="36"/>
          <w:szCs w:val="36"/>
        </w:rPr>
        <w:lastRenderedPageBreak/>
        <w:t>3) К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  <w:highlight w:val="white"/>
        </w:rPr>
        <w:t xml:space="preserve">акими бухгалтерскими проводками можно правильно провести действия по передаче в качестве пожертвования деньги на изготовление сайта НКО- Благополучателю, а также по приёмке пожертвования со стороны Благополучателя, при этом, Благотворительный </w:t>
      </w:r>
      <w:proofErr w:type="gramStart"/>
      <w:r w:rsidRPr="00882D00">
        <w:rPr>
          <w:rFonts w:ascii="Times New Roman" w:eastAsia="Arial" w:hAnsi="Times New Roman" w:cs="Times New Roman"/>
          <w:color w:val="2C2D2E"/>
          <w:sz w:val="36"/>
          <w:szCs w:val="36"/>
          <w:highlight w:val="white"/>
        </w:rPr>
        <w:t>фонд  как</w:t>
      </w:r>
      <w:proofErr w:type="gramEnd"/>
      <w:r w:rsidRPr="00882D00">
        <w:rPr>
          <w:rFonts w:ascii="Times New Roman" w:eastAsia="Arial" w:hAnsi="Times New Roman" w:cs="Times New Roman"/>
          <w:color w:val="2C2D2E"/>
          <w:sz w:val="36"/>
          <w:szCs w:val="36"/>
          <w:highlight w:val="white"/>
        </w:rPr>
        <w:t xml:space="preserve"> благотворитель и плательщик сам перечислил деньги на счёт Исполнителя.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6. Галина Геннадьевна Ю.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Arial" w:hAnsi="Times New Roman" w:cs="Times New Roman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FFFF00"/>
          <w:sz w:val="36"/>
          <w:szCs w:val="36"/>
        </w:rPr>
        <w:t>САВКОВА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Можно ли принимать к учету переданную безвозмездно б/у мебель со стоимостью в 0,00 </w:t>
      </w:r>
      <w:proofErr w:type="gramStart"/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р ,</w:t>
      </w:r>
      <w:proofErr w:type="gramEnd"/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 если в дальнейшем мы передаем ее в другие учреждения? (не несем при этом затрат на транспортировку)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Как принять к учету такие материалы с ценой?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Каким документом подтвердить стоимость и оценку данных материалов?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Есть ли правоустанавливающие документы запрещающие/обязывающие принимать или не принимать к учету данные материалы?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7. Валентина Алексеевна О.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00FF00"/>
          <w:sz w:val="36"/>
        </w:rPr>
        <w:t>ГАМОЛЬСКИЙ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 xml:space="preserve">НКО находится на УСН и осуществляет деятельность в области научных исследований и разработок. В 2023 году выручки, грантов и прочих поступлений не было. Были </w:t>
      </w:r>
      <w:r w:rsidRPr="00882D00">
        <w:rPr>
          <w:rFonts w:ascii="Times New Roman" w:hAnsi="Times New Roman" w:cs="Times New Roman"/>
          <w:sz w:val="36"/>
          <w:szCs w:val="36"/>
        </w:rPr>
        <w:lastRenderedPageBreak/>
        <w:t>только расходы. Может ли НКО в 2024 году применять пониженный тарифы страховых взносов?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8. Евгения Валерьевна К.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НЕВЕРОВ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Какие меры ответственности предусмотрены и какая практика существует (если известно) в случаях, когда благотворительная общественная организация сняла деньги с расчетного счета в размере 30 000 рублей, купила в срочном порядке имущество и передало его в качестве пожертвования социальному учреждению, но при этом, не заключила с ним договор пожертвования и акт не подписала, а событие это произошло в июне 2023 года?</w:t>
      </w:r>
    </w:p>
    <w:p w:rsidR="00E63550" w:rsidRPr="00882D00" w:rsidRDefault="00E6355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9. Татьяна Б.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FFFF00"/>
          <w:sz w:val="36"/>
        </w:rPr>
        <w:t>САВКОВА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 xml:space="preserve">Как учитывать имущество НКО для ведения </w:t>
      </w:r>
      <w:proofErr w:type="gramStart"/>
      <w:r w:rsidRPr="00882D00">
        <w:rPr>
          <w:rFonts w:ascii="Times New Roman" w:hAnsi="Times New Roman" w:cs="Times New Roman"/>
          <w:sz w:val="36"/>
          <w:szCs w:val="36"/>
        </w:rPr>
        <w:t>деятельности</w:t>
      </w:r>
      <w:proofErr w:type="gramEnd"/>
      <w:r w:rsidRPr="00882D00">
        <w:rPr>
          <w:rFonts w:ascii="Times New Roman" w:hAnsi="Times New Roman" w:cs="Times New Roman"/>
          <w:sz w:val="36"/>
          <w:szCs w:val="36"/>
        </w:rPr>
        <w:t xml:space="preserve"> приносящей доход в бухгалтерском учёте?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10. Ирина Д.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00FF00"/>
          <w:sz w:val="36"/>
        </w:rPr>
        <w:t>ГАМОЛЬСКИЙ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Прошу вас дать правовую оценку и вариант оформления факта хозяйственной жизни Фонда.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Фонд (не благотворительный) согласно Устава может осуществлять следующие виды деятельности: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882D00">
        <w:rPr>
          <w:rFonts w:ascii="Times New Roman" w:eastAsia="Wingdings" w:hAnsi="Times New Roman" w:cs="Times New Roman"/>
          <w:color w:val="2C2D2E"/>
          <w:sz w:val="36"/>
          <w:szCs w:val="36"/>
        </w:rPr>
        <w:lastRenderedPageBreak/>
        <w:t>ü</w:t>
      </w:r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</w:rPr>
        <w:t>  содействия</w:t>
      </w:r>
      <w:proofErr w:type="gramEnd"/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</w:rPr>
        <w:t xml:space="preserve"> в финансировании экскурсионных и иных поездок учащихся и работников Школы, связанных с образовательным процессом;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882D00">
        <w:rPr>
          <w:rFonts w:ascii="Times New Roman" w:eastAsia="Wingdings" w:hAnsi="Times New Roman" w:cs="Times New Roman"/>
          <w:color w:val="2C2D2E"/>
          <w:sz w:val="36"/>
          <w:szCs w:val="36"/>
        </w:rPr>
        <w:t>ü</w:t>
      </w:r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</w:rPr>
        <w:t>  содействие</w:t>
      </w:r>
      <w:proofErr w:type="gramEnd"/>
      <w:r w:rsidRPr="00882D00">
        <w:rPr>
          <w:rFonts w:ascii="Times New Roman" w:eastAsia="Times New Roman" w:hAnsi="Times New Roman" w:cs="Times New Roman"/>
          <w:color w:val="2C2D2E"/>
          <w:sz w:val="36"/>
          <w:szCs w:val="36"/>
        </w:rPr>
        <w:t xml:space="preserve"> в финансировании и организации внешкольных мероприятий для учащихся и работников Школы;</w:t>
      </w:r>
    </w:p>
    <w:p w:rsidR="00E63550" w:rsidRPr="00882D00" w:rsidRDefault="00E635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34"/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В текущий момент Фонд планирует произвести компенсацию затрат по покупке билетов на поезд для участия в образовательном турнире команды учащихся школы. Компенсация расходов (билетов) обучающимся школы возможна при условии, что обучающийся состоит в контингенте школы и расходы заложены в смету на 2024 год. На текущий момент все средства зарезервированы под данные расходы.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Законные представители (родители) покупают билеты на поезд для своих детей (несовершеннолетние старше 14 лет).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color w:val="2C2D2E"/>
          <w:sz w:val="36"/>
          <w:szCs w:val="36"/>
        </w:rPr>
        <w:t>Наш варианта оформления компенсации расходов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 </w:t>
      </w:r>
      <w:r w:rsidRPr="00882D00">
        <w:rPr>
          <w:rFonts w:ascii="Times New Roman" w:hAnsi="Times New Roman" w:cs="Times New Roman"/>
          <w:color w:val="2C2D2E"/>
          <w:sz w:val="36"/>
          <w:szCs w:val="36"/>
        </w:rPr>
        <w:t xml:space="preserve">- Фонд выплачивает сумму за билет в виде </w:t>
      </w:r>
      <w:proofErr w:type="spellStart"/>
      <w:proofErr w:type="gramStart"/>
      <w:r w:rsidRPr="00882D00">
        <w:rPr>
          <w:rFonts w:ascii="Times New Roman" w:hAnsi="Times New Roman" w:cs="Times New Roman"/>
          <w:color w:val="2C2D2E"/>
          <w:sz w:val="36"/>
          <w:szCs w:val="36"/>
        </w:rPr>
        <w:t>мат.помощи</w:t>
      </w:r>
      <w:proofErr w:type="spellEnd"/>
      <w:proofErr w:type="gramEnd"/>
      <w:r w:rsidRPr="00882D00">
        <w:rPr>
          <w:rFonts w:ascii="Times New Roman" w:hAnsi="Times New Roman" w:cs="Times New Roman"/>
          <w:color w:val="2C2D2E"/>
          <w:sz w:val="36"/>
          <w:szCs w:val="36"/>
        </w:rPr>
        <w:t xml:space="preserve"> и удерживает самостоятельно 13% и перечисляет в ИФНС.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color w:val="2C2D2E"/>
          <w:sz w:val="36"/>
          <w:szCs w:val="36"/>
        </w:rPr>
      </w:pPr>
      <w:r w:rsidRPr="00882D00">
        <w:rPr>
          <w:rFonts w:ascii="Times New Roman" w:hAnsi="Times New Roman" w:cs="Times New Roman"/>
          <w:color w:val="2C2D2E"/>
          <w:sz w:val="36"/>
          <w:szCs w:val="36"/>
        </w:rPr>
        <w:t xml:space="preserve">Для данного варианта Фонд заключает договор материальной помощи с </w:t>
      </w:r>
      <w:proofErr w:type="spellStart"/>
      <w:r w:rsidRPr="00882D00">
        <w:rPr>
          <w:rFonts w:ascii="Times New Roman" w:hAnsi="Times New Roman" w:cs="Times New Roman"/>
          <w:color w:val="2C2D2E"/>
          <w:sz w:val="36"/>
          <w:szCs w:val="36"/>
        </w:rPr>
        <w:t>физ.лицом</w:t>
      </w:r>
      <w:proofErr w:type="spellEnd"/>
      <w:r w:rsidRPr="00882D00">
        <w:rPr>
          <w:rFonts w:ascii="Times New Roman" w:hAnsi="Times New Roman" w:cs="Times New Roman"/>
          <w:color w:val="2C2D2E"/>
          <w:sz w:val="36"/>
          <w:szCs w:val="36"/>
        </w:rPr>
        <w:t> (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предмет договора –- безвозмездная передача в собственность денежных средств, сумма которых определяется при получении подтверждающих расходы документов (не включая НДФЛ 13%) в дар (далее – материальная помощь), после  покупки билета  </w:t>
      </w:r>
      <w:proofErr w:type="spellStart"/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физ.лицо</w:t>
      </w:r>
      <w:proofErr w:type="spellEnd"/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 направляет заявление о предоставлении материальной 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lastRenderedPageBreak/>
        <w:t>помощи в виде оплаты (компенсации) расходов по участию в мероприятии</w:t>
      </w:r>
      <w:r w:rsidRPr="00882D00">
        <w:rPr>
          <w:rFonts w:ascii="Times New Roman" w:hAnsi="Times New Roman" w:cs="Times New Roman"/>
          <w:color w:val="2C2D2E"/>
          <w:sz w:val="36"/>
          <w:szCs w:val="36"/>
        </w:rPr>
        <w:t xml:space="preserve"> с указанием суммы компенсации и предоставление билета. Фонд перечисляет средства </w:t>
      </w:r>
      <w:proofErr w:type="spellStart"/>
      <w:proofErr w:type="gramStart"/>
      <w:r w:rsidRPr="00882D00">
        <w:rPr>
          <w:rFonts w:ascii="Times New Roman" w:hAnsi="Times New Roman" w:cs="Times New Roman"/>
          <w:color w:val="2C2D2E"/>
          <w:sz w:val="36"/>
          <w:szCs w:val="36"/>
        </w:rPr>
        <w:t>физ.лицу</w:t>
      </w:r>
      <w:proofErr w:type="spellEnd"/>
      <w:proofErr w:type="gramEnd"/>
      <w:r w:rsidRPr="00882D00">
        <w:rPr>
          <w:rFonts w:ascii="Times New Roman" w:hAnsi="Times New Roman" w:cs="Times New Roman"/>
          <w:color w:val="2C2D2E"/>
          <w:sz w:val="36"/>
          <w:szCs w:val="36"/>
        </w:rPr>
        <w:t xml:space="preserve"> и удерживает НДФЛ.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color w:val="2C2D2E"/>
          <w:sz w:val="36"/>
          <w:szCs w:val="36"/>
        </w:rPr>
        <w:t>Если данный вариант верный, то вопрос в следующем: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color w:val="2C2D2E"/>
          <w:sz w:val="36"/>
          <w:szCs w:val="36"/>
        </w:rPr>
        <w:t xml:space="preserve">1. С кем заключать договор </w:t>
      </w:r>
      <w:proofErr w:type="spellStart"/>
      <w:proofErr w:type="gramStart"/>
      <w:r w:rsidRPr="00882D00">
        <w:rPr>
          <w:rFonts w:ascii="Times New Roman" w:hAnsi="Times New Roman" w:cs="Times New Roman"/>
          <w:color w:val="2C2D2E"/>
          <w:sz w:val="36"/>
          <w:szCs w:val="36"/>
        </w:rPr>
        <w:t>мат.помощи</w:t>
      </w:r>
      <w:proofErr w:type="spellEnd"/>
      <w:proofErr w:type="gramEnd"/>
      <w:r w:rsidRPr="00882D00">
        <w:rPr>
          <w:rFonts w:ascii="Times New Roman" w:hAnsi="Times New Roman" w:cs="Times New Roman"/>
          <w:color w:val="2C2D2E"/>
          <w:sz w:val="36"/>
          <w:szCs w:val="36"/>
        </w:rPr>
        <w:t>? С несовершеннолетним с согласия родителя или с родителем, так как затраты произвели законные представители?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color w:val="2C2D2E"/>
          <w:sz w:val="36"/>
          <w:szCs w:val="36"/>
        </w:rPr>
      </w:pPr>
      <w:r w:rsidRPr="00882D00">
        <w:rPr>
          <w:rFonts w:ascii="Times New Roman" w:hAnsi="Times New Roman" w:cs="Times New Roman"/>
          <w:color w:val="2C2D2E"/>
          <w:sz w:val="36"/>
          <w:szCs w:val="36"/>
        </w:rPr>
        <w:t> </w:t>
      </w:r>
      <w:r w:rsidRPr="00882D00">
        <w:rPr>
          <w:rFonts w:ascii="Times New Roman" w:hAnsi="Times New Roman" w:cs="Times New Roman"/>
          <w:color w:val="2C2D2E"/>
          <w:sz w:val="36"/>
          <w:szCs w:val="36"/>
        </w:rPr>
        <w:tab/>
        <w:t>С родителем более удобно заключить договор, так как у несовершеннолетних может не быть банковских реквизитов и т.д.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882D00">
        <w:rPr>
          <w:rFonts w:ascii="Times New Roman" w:hAnsi="Times New Roman" w:cs="Times New Roman"/>
          <w:color w:val="2C2D2E"/>
          <w:sz w:val="36"/>
          <w:szCs w:val="36"/>
        </w:rPr>
        <w:t>2. Предусмотрен ли вычет в сумме 4000 руб.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 (не облагаются НДФЛ в сумме, не превышающей 4000 рублей (п. 28 статьи 217 НК РФ)? Как расценивать выплату, как мат.</w:t>
      </w:r>
      <w:r w:rsidR="002B050B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 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помощь или как подарок? От этого зависит, можем ли мы применить вычет 4000 руб.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br/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ab/>
      </w:r>
      <w:r w:rsidRPr="00882D00">
        <w:rPr>
          <w:rFonts w:ascii="Times New Roman" w:hAnsi="Times New Roman" w:cs="Times New Roman"/>
          <w:color w:val="2C2D2E"/>
          <w:sz w:val="36"/>
          <w:szCs w:val="36"/>
        </w:rPr>
        <w:t>Так как заключение договоров планируется с каждым физ.</w:t>
      </w:r>
      <w:r w:rsidR="002B050B">
        <w:rPr>
          <w:rFonts w:ascii="Times New Roman" w:hAnsi="Times New Roman" w:cs="Times New Roman"/>
          <w:color w:val="2C2D2E"/>
          <w:sz w:val="36"/>
          <w:szCs w:val="36"/>
        </w:rPr>
        <w:t xml:space="preserve"> </w:t>
      </w:r>
      <w:r w:rsidRPr="00882D00">
        <w:rPr>
          <w:rFonts w:ascii="Times New Roman" w:hAnsi="Times New Roman" w:cs="Times New Roman"/>
          <w:color w:val="2C2D2E"/>
          <w:sz w:val="36"/>
          <w:szCs w:val="36"/>
        </w:rPr>
        <w:t>лицом и это трудоемко, может есть другой вариант оформления компенсации затрат, сообщите пожалуйста об этом.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11. Маргарита Николаевна К.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D00">
        <w:rPr>
          <w:rFonts w:ascii="Times New Roman" w:eastAsia="Asana" w:hAnsi="Times New Roman" w:cs="Times New Roman"/>
          <w:b/>
          <w:color w:val="FFFF00"/>
          <w:sz w:val="36"/>
          <w:szCs w:val="36"/>
        </w:rPr>
        <w:t>САВКОВА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Прошу пояснить вопрос по Уплате налога по УСН (объект налогообложения – доходы) 6% за 1 кв.2024.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lastRenderedPageBreak/>
        <w:t>Фонд оплатил все страховые взносы на 31 марта 2024 г., Расчеты РСВ и ЕФС-1 за 1 кв.2024 также сданы в ИФНС. Будет ли входить </w:t>
      </w:r>
      <w:r w:rsidRPr="00882D00">
        <w:rPr>
          <w:rFonts w:ascii="Times New Roman" w:eastAsia="Arial" w:hAnsi="Times New Roman" w:cs="Times New Roman"/>
          <w:b/>
          <w:color w:val="2C2D2E"/>
          <w:sz w:val="36"/>
          <w:szCs w:val="36"/>
        </w:rPr>
        <w:t>март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 в уменьшение налогооблагаемой базы по УСН?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 xml:space="preserve">12. </w:t>
      </w:r>
      <w:proofErr w:type="spellStart"/>
      <w:r w:rsidRPr="00882D00">
        <w:rPr>
          <w:rFonts w:ascii="Times New Roman" w:hAnsi="Times New Roman" w:cs="Times New Roman"/>
          <w:sz w:val="36"/>
          <w:szCs w:val="36"/>
        </w:rPr>
        <w:t>Алдынсай</w:t>
      </w:r>
      <w:proofErr w:type="spellEnd"/>
      <w:r w:rsidRPr="00882D00">
        <w:rPr>
          <w:rFonts w:ascii="Times New Roman" w:hAnsi="Times New Roman" w:cs="Times New Roman"/>
          <w:sz w:val="36"/>
          <w:szCs w:val="36"/>
        </w:rPr>
        <w:t xml:space="preserve"> О.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00FF00"/>
          <w:sz w:val="36"/>
        </w:rPr>
        <w:t>ГАМОЛЬСКИЙ</w:t>
      </w: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  <w:highlight w:val="white"/>
        </w:rPr>
        <w:t>Мы выплатили грант физическому лицу. Удержали НДФЛ. Подскажите какими проводками отразить данные операции. Грант нашей организации. В перечне федеральных, региональных организаций, которые бы освобождали от налогообложения не состоим. НДФЛ удержали, а страховые взносы не начисляла. Правильно ли все делаю?</w:t>
      </w:r>
    </w:p>
    <w:p w:rsidR="00E63550" w:rsidRPr="00882D00" w:rsidRDefault="00E635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3550" w:rsidRPr="00882D00" w:rsidRDefault="0000000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2D00">
        <w:rPr>
          <w:rFonts w:ascii="Times New Roman" w:hAnsi="Times New Roman" w:cs="Times New Roman"/>
          <w:sz w:val="36"/>
          <w:szCs w:val="36"/>
        </w:rPr>
        <w:t>13. Маргарита Николаевна К.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82D00">
        <w:rPr>
          <w:rFonts w:ascii="Times New Roman" w:eastAsia="Asana" w:hAnsi="Times New Roman" w:cs="Times New Roman"/>
          <w:b/>
          <w:color w:val="00FF00"/>
          <w:sz w:val="36"/>
        </w:rPr>
        <w:t>ГАМОЛЬСКИЙ</w:t>
      </w:r>
    </w:p>
    <w:p w:rsidR="00E63550" w:rsidRPr="00882D0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  <w:highlight w:val="white"/>
        </w:rPr>
        <w:t>1. НКО до </w:t>
      </w:r>
      <w:r w:rsidRPr="00882D00">
        <w:rPr>
          <w:rFonts w:ascii="Times New Roman" w:eastAsia="Arial" w:hAnsi="Times New Roman" w:cs="Times New Roman"/>
          <w:b/>
          <w:color w:val="2C2D2E"/>
          <w:sz w:val="36"/>
          <w:szCs w:val="36"/>
          <w:highlight w:val="white"/>
        </w:rPr>
        <w:t>1 января 2025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  <w:highlight w:val="white"/>
        </w:rPr>
        <w:t> года освобождаются от обязанности по обнародованию Отчетов о своей деятельности в сети Интернет (п.1 ст.3 326-ФЗ и ст. 32 7-ФЗ)</w:t>
      </w:r>
    </w:p>
    <w:p w:rsidR="00E635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Arial" w:hAnsi="Times New Roman" w:cs="Times New Roman"/>
          <w:color w:val="2C2D2E"/>
          <w:sz w:val="36"/>
          <w:szCs w:val="36"/>
        </w:rPr>
      </w:pP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О каких </w:t>
      </w:r>
      <w:r w:rsidRPr="00882D00">
        <w:rPr>
          <w:rFonts w:ascii="Times New Roman" w:eastAsia="Arial" w:hAnsi="Times New Roman" w:cs="Times New Roman"/>
          <w:b/>
          <w:color w:val="2C2D2E"/>
          <w:sz w:val="36"/>
          <w:szCs w:val="36"/>
        </w:rPr>
        <w:t>Отчетах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 идет речь? (Минюст принимает онлайн от НКО отчеты до 15 апреля 2024). дополнительно- как отражаются Отчеты с перс.</w:t>
      </w:r>
      <w:r w:rsidR="00122020">
        <w:rPr>
          <w:rFonts w:ascii="Times New Roman" w:eastAsia="Arial" w:hAnsi="Times New Roman" w:cs="Times New Roman"/>
          <w:color w:val="2C2D2E"/>
          <w:sz w:val="36"/>
          <w:szCs w:val="36"/>
        </w:rPr>
        <w:t xml:space="preserve"> </w:t>
      </w:r>
      <w:r w:rsidRPr="00882D00">
        <w:rPr>
          <w:rFonts w:ascii="Times New Roman" w:eastAsia="Arial" w:hAnsi="Times New Roman" w:cs="Times New Roman"/>
          <w:color w:val="2C2D2E"/>
          <w:sz w:val="36"/>
          <w:szCs w:val="36"/>
        </w:rPr>
        <w:t>данными (ОН0001) при запросах сторонними ЮЛ и ФЛ?</w:t>
      </w:r>
    </w:p>
    <w:p w:rsidR="00122020" w:rsidRPr="00882D00" w:rsidRDefault="001220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sectPr w:rsidR="00122020" w:rsidRPr="00882D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74F" w:rsidRDefault="00B3474F">
      <w:pPr>
        <w:spacing w:after="0" w:line="240" w:lineRule="auto"/>
      </w:pPr>
      <w:r>
        <w:separator/>
      </w:r>
    </w:p>
  </w:endnote>
  <w:endnote w:type="continuationSeparator" w:id="0">
    <w:p w:rsidR="00B3474F" w:rsidRDefault="00B3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sana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74F" w:rsidRDefault="00B3474F">
      <w:pPr>
        <w:spacing w:after="0" w:line="240" w:lineRule="auto"/>
      </w:pPr>
      <w:r>
        <w:separator/>
      </w:r>
    </w:p>
  </w:footnote>
  <w:footnote w:type="continuationSeparator" w:id="0">
    <w:p w:rsidR="00B3474F" w:rsidRDefault="00B3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692"/>
    <w:multiLevelType w:val="hybridMultilevel"/>
    <w:tmpl w:val="1144B99A"/>
    <w:lvl w:ilvl="0" w:tplc="E9108CAC">
      <w:start w:val="1"/>
      <w:numFmt w:val="decimal"/>
      <w:lvlText w:val="%1."/>
      <w:lvlJc w:val="left"/>
      <w:pPr>
        <w:ind w:left="709" w:hanging="360"/>
      </w:pPr>
    </w:lvl>
    <w:lvl w:ilvl="1" w:tplc="4426EFA4">
      <w:start w:val="1"/>
      <w:numFmt w:val="lowerLetter"/>
      <w:lvlText w:val="%2."/>
      <w:lvlJc w:val="left"/>
      <w:pPr>
        <w:ind w:left="1429" w:hanging="360"/>
      </w:pPr>
    </w:lvl>
    <w:lvl w:ilvl="2" w:tplc="FAB246EA">
      <w:start w:val="1"/>
      <w:numFmt w:val="lowerRoman"/>
      <w:lvlText w:val="%3."/>
      <w:lvlJc w:val="right"/>
      <w:pPr>
        <w:ind w:left="2149" w:hanging="180"/>
      </w:pPr>
    </w:lvl>
    <w:lvl w:ilvl="3" w:tplc="D77644B4">
      <w:start w:val="1"/>
      <w:numFmt w:val="decimal"/>
      <w:lvlText w:val="%4."/>
      <w:lvlJc w:val="left"/>
      <w:pPr>
        <w:ind w:left="2869" w:hanging="360"/>
      </w:pPr>
    </w:lvl>
    <w:lvl w:ilvl="4" w:tplc="12B04F8C">
      <w:start w:val="1"/>
      <w:numFmt w:val="lowerLetter"/>
      <w:lvlText w:val="%5."/>
      <w:lvlJc w:val="left"/>
      <w:pPr>
        <w:ind w:left="3589" w:hanging="360"/>
      </w:pPr>
    </w:lvl>
    <w:lvl w:ilvl="5" w:tplc="482E78F6">
      <w:start w:val="1"/>
      <w:numFmt w:val="lowerRoman"/>
      <w:lvlText w:val="%6."/>
      <w:lvlJc w:val="right"/>
      <w:pPr>
        <w:ind w:left="4309" w:hanging="180"/>
      </w:pPr>
    </w:lvl>
    <w:lvl w:ilvl="6" w:tplc="D7B6136C">
      <w:start w:val="1"/>
      <w:numFmt w:val="decimal"/>
      <w:lvlText w:val="%7."/>
      <w:lvlJc w:val="left"/>
      <w:pPr>
        <w:ind w:left="5029" w:hanging="360"/>
      </w:pPr>
    </w:lvl>
    <w:lvl w:ilvl="7" w:tplc="7342069E">
      <w:start w:val="1"/>
      <w:numFmt w:val="lowerLetter"/>
      <w:lvlText w:val="%8."/>
      <w:lvlJc w:val="left"/>
      <w:pPr>
        <w:ind w:left="5749" w:hanging="360"/>
      </w:pPr>
    </w:lvl>
    <w:lvl w:ilvl="8" w:tplc="2D185E4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3A64FD1"/>
    <w:multiLevelType w:val="hybridMultilevel"/>
    <w:tmpl w:val="B2A62BBE"/>
    <w:lvl w:ilvl="0" w:tplc="99C460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EE23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7A8EE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FCA59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02E0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48B5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FC12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25CD2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84D6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1E021F0"/>
    <w:multiLevelType w:val="hybridMultilevel"/>
    <w:tmpl w:val="72F6D2DA"/>
    <w:lvl w:ilvl="0" w:tplc="8D64C1FC">
      <w:start w:val="1"/>
      <w:numFmt w:val="decimal"/>
      <w:lvlText w:val="%1."/>
      <w:lvlJc w:val="right"/>
      <w:pPr>
        <w:ind w:left="934" w:hanging="360"/>
      </w:pPr>
    </w:lvl>
    <w:lvl w:ilvl="1" w:tplc="7BCCBD0A">
      <w:start w:val="1"/>
      <w:numFmt w:val="decimal"/>
      <w:lvlText w:val="%2."/>
      <w:lvlJc w:val="right"/>
      <w:pPr>
        <w:ind w:left="1654" w:hanging="360"/>
      </w:pPr>
    </w:lvl>
    <w:lvl w:ilvl="2" w:tplc="D7FC8CA2">
      <w:start w:val="1"/>
      <w:numFmt w:val="decimal"/>
      <w:lvlText w:val="%3."/>
      <w:lvlJc w:val="right"/>
      <w:pPr>
        <w:ind w:left="2374" w:hanging="180"/>
      </w:pPr>
    </w:lvl>
    <w:lvl w:ilvl="3" w:tplc="B644D58E">
      <w:start w:val="1"/>
      <w:numFmt w:val="decimal"/>
      <w:lvlText w:val="%4."/>
      <w:lvlJc w:val="right"/>
      <w:pPr>
        <w:ind w:left="3094" w:hanging="360"/>
      </w:pPr>
    </w:lvl>
    <w:lvl w:ilvl="4" w:tplc="2C08BA2E">
      <w:start w:val="1"/>
      <w:numFmt w:val="decimal"/>
      <w:lvlText w:val="%5."/>
      <w:lvlJc w:val="right"/>
      <w:pPr>
        <w:ind w:left="3814" w:hanging="360"/>
      </w:pPr>
    </w:lvl>
    <w:lvl w:ilvl="5" w:tplc="270EB87A">
      <w:start w:val="1"/>
      <w:numFmt w:val="decimal"/>
      <w:lvlText w:val="%6."/>
      <w:lvlJc w:val="right"/>
      <w:pPr>
        <w:ind w:left="4534" w:hanging="180"/>
      </w:pPr>
    </w:lvl>
    <w:lvl w:ilvl="6" w:tplc="9E5E093A">
      <w:start w:val="1"/>
      <w:numFmt w:val="decimal"/>
      <w:lvlText w:val="%7."/>
      <w:lvlJc w:val="right"/>
      <w:pPr>
        <w:ind w:left="5254" w:hanging="360"/>
      </w:pPr>
    </w:lvl>
    <w:lvl w:ilvl="7" w:tplc="331CFEAE">
      <w:start w:val="1"/>
      <w:numFmt w:val="decimal"/>
      <w:lvlText w:val="%8."/>
      <w:lvlJc w:val="right"/>
      <w:pPr>
        <w:ind w:left="5974" w:hanging="360"/>
      </w:pPr>
    </w:lvl>
    <w:lvl w:ilvl="8" w:tplc="FF1C795E">
      <w:start w:val="1"/>
      <w:numFmt w:val="decimal"/>
      <w:lvlText w:val="%9."/>
      <w:lvlJc w:val="right"/>
      <w:pPr>
        <w:ind w:left="6694" w:hanging="180"/>
      </w:pPr>
    </w:lvl>
  </w:abstractNum>
  <w:num w:numId="1" w16cid:durableId="1824733857">
    <w:abstractNumId w:val="2"/>
  </w:num>
  <w:num w:numId="2" w16cid:durableId="554002613">
    <w:abstractNumId w:val="0"/>
  </w:num>
  <w:num w:numId="3" w16cid:durableId="164050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50"/>
    <w:rsid w:val="00122020"/>
    <w:rsid w:val="002B050B"/>
    <w:rsid w:val="00512C75"/>
    <w:rsid w:val="005D0335"/>
    <w:rsid w:val="00882D00"/>
    <w:rsid w:val="008C1B31"/>
    <w:rsid w:val="00B3474F"/>
    <w:rsid w:val="00E63550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4CA9"/>
  <w15:docId w15:val="{38098D2C-99C2-4812-9BAE-C68951BD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Pavel Gamolskiy</cp:lastModifiedBy>
  <cp:revision>16</cp:revision>
  <dcterms:created xsi:type="dcterms:W3CDTF">2024-04-15T17:20:00Z</dcterms:created>
  <dcterms:modified xsi:type="dcterms:W3CDTF">2024-04-16T09:46:00Z</dcterms:modified>
</cp:coreProperties>
</file>