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auto"/>
        <w:rPr>
          <w:rFonts w:ascii="Asana" w:hAnsi="Asana" w:cs="Asana"/>
          <w:highlight w:val="none"/>
          <w14:ligatures w14:val="none"/>
        </w:rPr>
      </w:pPr>
      <w:r>
        <w:rPr>
          <w:rFonts w:ascii="Asana" w:hAnsi="Asana" w:eastAsia="Asana" w:cs="Asana"/>
          <w14:ligatures w14:val="none"/>
        </w:rPr>
      </w:r>
      <w:r>
        <w:rPr>
          <w:rFonts w:ascii="Asana" w:hAnsi="Asana" w:eastAsia="Asana" w:cs="Asana"/>
          <w:b/>
          <w:color w:val="000000"/>
          <w:sz w:val="36"/>
          <w:szCs w:val="36"/>
          <w:u w:val="none"/>
        </w:rPr>
        <w:t xml:space="preserve">Вопросы к вебинару 16 января 2024 г. (вторник)</w:t>
      </w:r>
      <w:r>
        <w:rPr>
          <w:rFonts w:ascii="Asana" w:hAnsi="Asana" w:cs="Asana"/>
          <w:highlight w:val="none"/>
          <w14:ligatures w14:val="none"/>
        </w:rPr>
      </w:r>
      <w:r>
        <w:rPr>
          <w:rFonts w:ascii="Asana" w:hAnsi="Asana" w:cs="Asana"/>
          <w:highlight w:val="none"/>
          <w14:ligatures w14:val="none"/>
        </w:rPr>
      </w:r>
    </w:p>
    <w:p>
      <w:pPr>
        <w:jc w:val="both"/>
        <w:spacing w:line="240" w:lineRule="auto"/>
        <w:rPr>
          <w:rFonts w:ascii="Asana" w:hAnsi="Asana" w:cs="Asana"/>
          <w:highlight w:val="none"/>
          <w14:ligatures w14:val="none"/>
        </w:rPr>
      </w:pPr>
      <w:r>
        <w:rPr>
          <w:rFonts w:ascii="Asana" w:hAnsi="Asana" w:eastAsia="Asana" w:cs="Asana"/>
          <w:highlight w:val="none"/>
          <w14:ligatures w14:val="none"/>
        </w:rPr>
      </w:r>
      <w:r>
        <w:rPr>
          <w:rFonts w:ascii="Asana" w:hAnsi="Asana" w:cs="Asana"/>
          <w:highlight w:val="none"/>
          <w14:ligatures w14:val="none"/>
        </w:rPr>
      </w:r>
      <w:r>
        <w:rPr>
          <w:rFonts w:ascii="Asana" w:hAnsi="Asana" w:cs="Asana"/>
          <w:highlight w:val="none"/>
          <w14:ligatures w14:val="none"/>
        </w:rPr>
      </w:r>
    </w:p>
    <w:p>
      <w:pPr>
        <w:pStyle w:val="846"/>
        <w:numPr>
          <w:ilvl w:val="0"/>
          <w:numId w:val="5"/>
        </w:numPr>
        <w:ind w:right="0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highlight w:val="white"/>
          <w:u w:val="none"/>
        </w:rPr>
        <w:t xml:space="preserve">Марина Б.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firstLine="708"/>
        <w:jc w:val="both"/>
        <w:spacing w:line="240" w:lineRule="auto"/>
        <w:rPr>
          <w:rFonts w:ascii="Asana" w:hAnsi="Asana" w:cs="Asana"/>
          <w14:ligatures w14:val="none"/>
        </w:rPr>
      </w:pPr>
      <w:r>
        <w:rPr>
          <w:rFonts w:ascii="Asana" w:hAnsi="Asana" w:cs="Asana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color w:val="ff0000"/>
          <w:sz w:val="36"/>
          <w:u w:val="none"/>
        </w:rPr>
        <w:t xml:space="preserve">НЕВЕРОВ</w:t>
      </w:r>
      <w:r>
        <w:rPr>
          <w:rFonts w:ascii="Asana" w:hAnsi="Asana" w:cs="Asana"/>
          <w14:ligatures w14:val="none"/>
        </w:rPr>
      </w:r>
      <w:r>
        <w:rPr>
          <w:rFonts w:ascii="Asana" w:hAnsi="Asana" w:cs="Asana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На текущую деятельность мы получаем целевое финансирование от другой НКО. Нужно ли распределять общехозяйственные расходы между коммерческой и некоммерческой деятельностью, если мы работаем на УСН 6% от доходов?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АНО на УСН спонсорскую помощь получила в январе, авансы поставщикам перечислила в феврале-марте, мероприятие проходит в апреле. В каком месяце распределять общехозяйственные расходы?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Спонсорская помощь получена на проведение спортивного мероприятия. С учётом общехозяйственных расходов получается убыток от коммерческой деятельности. Можно его списать за счёт целевого финансирования, полученного от другой организации на текущую деятельно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сть?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916" w:right="0" w:firstLine="0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  <w:t xml:space="preserve">2.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highlight w:val="none"/>
          <w:u w:val="none"/>
          <w14:ligatures w14:val="none"/>
        </w:rPr>
        <w:t xml:space="preserve">Дмитрий Викторович К.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b/>
          <w:color w:val="ffff00"/>
          <w:sz w:val="36"/>
          <w:u w:val="none"/>
        </w:rPr>
        <w:t xml:space="preserve">САВКОВА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before="220" w:after="160" w:line="78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ab/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1) 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Вопрос применения ФСБУ 25/2018 «Бухгалтерский учет аренды»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. 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Обязательно ли закр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епление в учётной политике (УП) следующих элементов (ниже в таблице) при наличии оформляемого профессионального суждения по каждому недвижимому объекту аренды (основные средства) с указанием СПИ (установлено УП) и для основных средств аналогичные элементы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уже определены в УП при первичном применении ФСБУ 6/2020 «Основные средства»: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Arial" w:hAnsi="Arial" w:eastAsia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>
        <w:rPr>
          <w:rFonts w:ascii="Arial" w:hAnsi="Arial" w:eastAsia="Arial" w:cs="Arial"/>
        </w:rPr>
      </w:r>
    </w:p>
    <w:tbl>
      <w:tblPr>
        <w:tblStyle w:val="69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817"/>
        <w:gridCol w:w="426"/>
        <w:gridCol w:w="3717"/>
        <w:gridCol w:w="2377"/>
      </w:tblGrid>
      <w:tr>
        <w:trPr>
          <w:trHeight w:val="499"/>
        </w:trPr>
        <w:tc>
          <w:tcPr>
            <w:shd w:val="clear" w:color="f2dcdb" w:fill="f2dcdb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6"/>
              </w:rPr>
              <w:t xml:space="preserve">Требуемое положение</w:t>
            </w:r>
            <w:r/>
          </w:p>
        </w:tc>
        <w:tc>
          <w:tcPr>
            <w:gridSpan w:val="2"/>
            <w:shd w:val="clear" w:color="f2dcdb" w:fill="f2dcdb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6"/>
              </w:rPr>
              <w:t xml:space="preserve">Возможные варианты</w:t>
            </w:r>
            <w:r/>
          </w:p>
        </w:tc>
        <w:tc>
          <w:tcPr>
            <w:shd w:val="clear" w:color="f2dcdb" w:fill="f2dcdb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6"/>
              </w:rPr>
              <w:t xml:space="preserve">Ссылки</w:t>
            </w:r>
            <w:r/>
          </w:p>
        </w:tc>
      </w:tr>
      <w:tr>
        <w:trPr>
          <w:trHeight w:val="11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Способ аренды ППА: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6" w:type="dxa"/>
            <w:vAlign w:val="center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линейный метод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п.8, 17 ФСБУ 25/2018</w:t>
              <w:br/>
              <w:br/>
              <w:t xml:space="preserve">п.31 МСФО (IFRS) 16 "Аренда"</w:t>
              <w:br/>
              <w:br/>
              <w:t xml:space="preserve">п.62 МСФО  (IAS) 16 "Основные средства"</w:t>
              <w:br/>
              <w:t xml:space="preserve">п.11 ФСБУ 25/2019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6" w:type="dxa"/>
            <w:vAlign w:val="center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метод уменьшаемого остатка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6" w:type="dxa"/>
            <w:vAlign w:val="center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метод списания стоимости пропорционально объему продукции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1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222222"/>
                <w:sz w:val="16"/>
              </w:rPr>
              <w:t xml:space="preserve">Порядок определения срока полезного использования ППА.</w:t>
              <w:br/>
              <w:br/>
              <w:t xml:space="preserve">Срок аренды для целей бухгалтерского учета рассчитывается исходя из сроков и условий, установленных договором аренды (включая периоды, не предусматривающие арендных платежей). При этом учитываются воз</w:t>
            </w:r>
            <w:r>
              <w:rPr>
                <w:rFonts w:ascii="Arial" w:hAnsi="Arial" w:eastAsia="Arial" w:cs="Arial"/>
                <w:color w:val="222222"/>
                <w:sz w:val="16"/>
              </w:rPr>
              <w:t xml:space="preserve">можности сторон изменять указанные сроки и условия и намерения реализации таких возможностей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Можно учитывать факторы:</w:t>
              <w:br/>
              <w:br/>
              <w:t xml:space="preserve">срок, указанный в договоре;</w:t>
              <w:br/>
              <w:t xml:space="preserve">условия продления и выхода из договора;</w:t>
              <w:br/>
              <w:t xml:space="preserve">условия повышения (сохранения) стоимости арендных платежей;</w:t>
              <w:br/>
              <w:t xml:space="preserve">уровень цен на аренду в районе расположения предмета аренды;</w:t>
              <w:br/>
              <w:t xml:space="preserve">иные факторы, стимулирующие продление дог</w:t>
            </w:r>
            <w:r>
              <w:rPr>
                <w:rFonts w:ascii="Arial" w:hAnsi="Arial" w:eastAsia="Arial" w:cs="Arial"/>
                <w:color w:val="000000"/>
                <w:sz w:val="16"/>
              </w:rPr>
              <w:t xml:space="preserve">овора аренды.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п.9 ФСБУ 25/2018</w:t>
            </w:r>
            <w:r/>
          </w:p>
        </w:tc>
      </w:tr>
      <w:tr>
        <w:trPr>
          <w:trHeight w:val="125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222222"/>
                <w:sz w:val="16"/>
              </w:rPr>
              <w:t xml:space="preserve">Порядок определения ставки дисконтирования.</w:t>
              <w:br/>
              <w:br/>
              <w:t xml:space="preserve">В случае если ставка дисконтирования не может быть определена в соответствие с первым абзацем п.15 ФСБУ 25/2018, применяется ставка, по которой арендатор привлекает или мог бы привлечь заемные средства на срок, </w:t>
            </w:r>
            <w:r>
              <w:rPr>
                <w:rFonts w:ascii="Arial" w:hAnsi="Arial" w:eastAsia="Arial" w:cs="Arial"/>
                <w:color w:val="222222"/>
                <w:sz w:val="16"/>
              </w:rPr>
              <w:t xml:space="preserve">сопоставимый со сроком аренды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Можно брать за основу ключевую ставку, увеличенную на определенное количество пунктов </w:t>
              <w:br/>
              <w:t xml:space="preserve">Или иную ставку по привлечению средств (статистика Банка России)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п.15 ФСБУ 25/2018</w:t>
            </w:r>
            <w:r/>
          </w:p>
        </w:tc>
      </w:tr>
      <w:tr>
        <w:trPr>
          <w:trHeight w:val="127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222222"/>
                <w:sz w:val="16"/>
              </w:rPr>
              <w:t xml:space="preserve">Документальное оформление операций аренды:</w:t>
              <w:br/>
              <w:t xml:space="preserve">о стоимости предмета аренды,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222222"/>
                <w:sz w:val="16"/>
              </w:rPr>
              <w:t xml:space="preserve">сроке аренды,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222222"/>
                <w:sz w:val="16"/>
              </w:rPr>
              <w:t xml:space="preserve">примененной ставке дисконтирования;</w:t>
              <w:br/>
              <w:t xml:space="preserve">расчет приведенной стоимости будущих арендных платежей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Ответственное лицо указывает </w:t>
            </w:r>
            <w:r>
              <w:rPr>
                <w:rFonts w:ascii="Arial" w:hAnsi="Arial" w:eastAsia="Arial" w:cs="Arial"/>
                <w:color w:val="222222"/>
                <w:sz w:val="16"/>
              </w:rPr>
              <w:t xml:space="preserve">информацию</w:t>
            </w:r>
            <w:r>
              <w:rPr>
                <w:rFonts w:ascii="Arial" w:hAnsi="Arial" w:eastAsia="Arial" w:cs="Arial"/>
                <w:color w:val="000000"/>
                <w:sz w:val="16"/>
              </w:rPr>
              <w:t xml:space="preserve"> о стоимости предмета аренды, сроке аренды, примененной ставке дисконтирования в суждении ответственного лица (форма документа утверждена)</w:t>
              <w:br/>
              <w:t xml:space="preserve">Ответственное лицо осуществляет расчет (форма расчета утверждена)</w:t>
              <w:br/>
              <w:t xml:space="preserve">Все формы предусматривают наличие обязательных рекв</w:t>
            </w:r>
            <w:r>
              <w:rPr>
                <w:rFonts w:ascii="Arial" w:hAnsi="Arial" w:eastAsia="Arial" w:cs="Arial"/>
                <w:color w:val="000000"/>
                <w:sz w:val="16"/>
              </w:rPr>
              <w:t xml:space="preserve">изитов первичного документа.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ч.2, ч.4 ст. 9 Федерального закона «О бухгалтерском учете»</w:t>
            </w:r>
            <w:r/>
          </w:p>
        </w:tc>
      </w:tr>
    </w:tbl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3300"/>
          <w:sz w:val="24"/>
        </w:rPr>
        <w:t xml:space="preserve"> </w:t>
      </w:r>
      <w:r/>
    </w:p>
    <w:p>
      <w:pPr>
        <w:ind w:left="0" w:right="0" w:firstLine="567"/>
        <w:jc w:val="both"/>
        <w:spacing w:before="220" w:after="160" w:line="78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2) Нужно ли НКО проверять краткосрочные депозиты (до 1 года) на предмет наличия признаков обесценения и фиксировать такой порядок в УП в целях правильного применения 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п.п. 37, 38 ПБУ 19/02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before="220" w:after="160" w:line="78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В частности, определить перечень признаков их обесценения, которые тестируются в целях формирования резерва под обесценение, методику формирования резерва в случае выявления обесценения финансовых вложений.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before="220" w:after="160" w:line="78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НКО заключает договоры на размещение временно свободных остатков целевых денежных средств в банковские депозиты в целях их сохранения от инфляции (согласно писем Минфина об использовании ЦС при размещении на банковские депозиты), при отборе предложений от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банков-участников для каждой сделки на конкурсной основе (при этом % ставка соответствует максимальным рыночным условиям размещения средств на финансовом рынке)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3300"/>
          <w:sz w:val="24"/>
        </w:rPr>
        <w:t xml:space="preserve"> </w:t>
        <w:tab/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3. Вопрос по инвентаризации активов и обязательств перед обязательным аудитом. Требуется ли документальное комиссионное оформление инвентаризации следующих активов и обязательств после их начисления или проведения за 31 декабря:</w:t>
      </w:r>
      <w:r>
        <w:rPr>
          <w:rFonts w:ascii="Arial" w:hAnsi="Arial" w:eastAsia="Arial" w:cs="Arial"/>
        </w:rPr>
      </w:r>
      <w:r/>
    </w:p>
    <w:p>
      <w:pPr>
        <w:ind w:left="0" w:right="0" w:firstLine="567"/>
        <w:jc w:val="both"/>
        <w:spacing w:before="220" w:after="160" w:line="78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- оценочных обязательств (по правилам алгоритма 1с, отраженного в УП аудируемой НКО, инвентаризация резерва на выплату ежегодных отпусков и годовых премий проводится в момент их начисления за декабрь отчетного года);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before="220" w:after="160" w:line="78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- остатков на расчетных и депозитных счетах (после проведения банковских выписок за 31.12 и первый рабочий день нового года (с показателями вх.остаток и исх. остаток) и получения ежегодных справок-подтверждений об остатках из ба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нко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в как для клиента банка,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так и для платных справок для аудиторской компании).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3.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highlight w:val="white"/>
          <w:u w:val="none"/>
        </w:rPr>
        <w:t xml:space="preserve">Наталия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highlight w:val="white"/>
          <w:u w:val="none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</w:r>
      <w:r>
        <w:rPr>
          <w:rFonts w:ascii="Times New Roman" w:hAnsi="Times New Roman" w:eastAsia="Times New Roman" w:cs="Times New Roman"/>
          <w:b/>
          <w:color w:val="ff00ff"/>
          <w:sz w:val="36"/>
          <w:u w:val="none"/>
        </w:rPr>
        <w:t xml:space="preserve">ШАРОНОВА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В начале деятельности организации ведение бухгалтерского учета возлагается на директора.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Через  какое-то время  планируется возможно  в штат принять Главного бухгалтера.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Как при формировании Учетной политики правильно оформить этот момент: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-  обязанности ведения бухгалтерского учета возлагаются на директора.  (А при принятии в штат  Глав. Бухгалтера  - издать дополнительный приказ о внесении дополнительных данных в Учетную политику )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- Или  Сразу указать в Учетной политике 2 варианта возложения обязанности по ведению бухгалтерского учета?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993366"/>
          <w:sz w:val="24"/>
        </w:rPr>
        <w:t xml:space="preserve"> </w:t>
      </w:r>
      <w:r>
        <w:rPr>
          <w:rFonts w:ascii="Arial" w:hAnsi="Arial" w:eastAsia="Arial" w:cs="Arial"/>
        </w:rPr>
      </w:r>
      <w:r/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highlight w:val="white"/>
          <w:u w:val="none"/>
        </w:rPr>
        <w:t xml:space="preserve">Маргарита Николаевна К.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b/>
          <w:color w:val="00ff00"/>
          <w:sz w:val="36"/>
          <w:u w:val="none"/>
        </w:rPr>
        <w:t xml:space="preserve">ГАМОЛЬСКИЙ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1. 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НКО (Фонд), УСН 6%-доходы, основной ОКВЭД 88.99, занимающаяся охраной здоровья, не являющаяся благотворительной организацией, оплачивает медицинские услуги в медицинскую организацию в пользу физлиц-благополучателей, а также планирует приобрести авиабилеты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и опла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тить услуги отеля для иногородних пациентов, приезжающих в Москву в целях получения медуслуг.</w:t>
        <w:br/>
        <w:tab/>
        <w:t xml:space="preserve">Согласно п. 10 ст. 217 НК РФ, оплаченные медуслуги не формируют налогооблагаемую базу по НДФЛ, но оплаченные билеты и проживание подлежат налогообложению, т.к. п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. 8.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2 ст. 217 НК РФ распространяется только на благотворительные НКО.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Фонд рассматривает возможность уплаты НДФЛ за благополучателей, с учетом п. 1 ст. 45 НК РФ.</w:t>
        <w:br/>
        <w:tab/>
        <w:t xml:space="preserve">Вопрос:</w:t>
        <w:br/>
        <w:tab/>
        <w:t xml:space="preserve">Есть ли законные способы избавить благополучателей от уплаты НДФЛ за полученные в натур.форме ус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луги (проезда и проживания), оплаченные в пользу физлиц со стороны НКО, не имеющей благотворительного статуса?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highlight w:val="white"/>
          <w:u w:val="none"/>
        </w:rPr>
        <w:t xml:space="preserve">Наталия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highlight w:val="white"/>
          <w:u w:val="none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b/>
          <w:color w:val="ff0000"/>
          <w:sz w:val="36"/>
          <w:u w:val="none"/>
        </w:rPr>
        <w:t xml:space="preserve">НЕВЕРОВ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singl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Организация ведет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single"/>
        </w:rPr>
        <w:t xml:space="preserve">только приносящую доход  деятельность.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singl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singl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Но иногда от физических и юридических лиц поступают Пожертвования на уставную деятельность и административные расходы, так как оплаты за обучение не хватает на покрытие расходов.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Проводки делаются согласно Плану счетов:  при пожертвовании   Кредит счета 86, а при ПДД – Кредит счета  90.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Как такую ситуацию прописать в Учетной Политике,  то что Пожертвования используются на ПДД и какие проводки при этом делать 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highlight w:val="white"/>
          <w:u w:val="none"/>
        </w:rPr>
        <w:t xml:space="preserve">Маргарита Николаевна К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</w:r>
      <w:r>
        <w:rPr>
          <w:rFonts w:ascii="Times New Roman" w:hAnsi="Times New Roman" w:eastAsia="Times New Roman" w:cs="Times New Roman"/>
          <w:b/>
          <w:color w:val="ffff00"/>
          <w:sz w:val="36"/>
          <w:u w:val="none"/>
        </w:rPr>
        <w:t xml:space="preserve">САВКОВА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  <w:t xml:space="preserve">2)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 Фонд в мае 2022 году поставил на баланс Товарный знак (ТЗ) стоимостью 94,5 тыс. руб., но в 2023 году выяснилось, что 300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тыс. руб.,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 относящиеся к затратам по ТЗ 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 были поставлены на баланс. Какие проводки дополнительно необходимо сделать в этой ситуации в 2023 г.?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b/>
          <w:color w:val="00ff00"/>
          <w:sz w:val="36"/>
          <w:u w:val="none"/>
        </w:rPr>
        <w:t xml:space="preserve">ГАМОЛЬСКИЙ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  <w:t xml:space="preserve">3)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 Просим пояснить, должна ли входить в Декларацию УСН 2023 сумма по страховым взносам за 12/2023, уплаченная до 29 декабря по коду 02 (платежка). Раздел 2.1.2, код строки 143 Декларации?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highlight w:val="white"/>
          <w:u w:val="none"/>
        </w:rPr>
        <w:t xml:space="preserve">Екатерина Игоревна Б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</w:r>
      <w:r>
        <w:rPr>
          <w:rFonts w:ascii="Times New Roman" w:hAnsi="Times New Roman" w:eastAsia="Times New Roman" w:cs="Times New Roman"/>
          <w:b/>
          <w:color w:val="ff0000"/>
          <w:sz w:val="36"/>
          <w:u w:val="none"/>
        </w:rPr>
        <w:t xml:space="preserve">НЕВЕРОВ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Вопрос связан с оформлением закрытия аванса по договору подряда на выполнение проектных работ.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Ситуация следующая: Благотворительный фонд заключил договор с самозанятым архитектором на проектные работы, общая стоимость Договора 170000,00 рублей. По условиям договора предусмотрен аванс в размере 20000,00 рублей, который был выплачен в октябре 2023 го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да. Договор выполняется этапами. 1-й этап стоимостью 50000,00 рублей оканчивается и подписывается акт 31.01.2024 года; второй этап стоимостью 50000,00 рублей — 31.03.2024 г.; третий этап — 31.05.2024 года.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В договоре есть такой пункт: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«4.2. В течении 7 (семи) календарных дней с момента подписания Договора Заказчик уплачивает Подрядчику аванс в размере 20000 (двадцати тысяч) рублей. Выплаченный аванс погашается пропорционально отношению стоимости выполненной работы к общей стоимости рабо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т».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Правильно ли я понимаю, что я должна разделить аванс 20000,00 рублей  на три равных части (20000,00\3 = 6666,67 рублей)  и в актах к каждому этапу (при условии, что всё будет по плану) прописывать фразу «Работы выполнены на сумму 56666,67 рублей, к оплате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Исполнителю 50000,00 рублей». ? Или лучше так: «Работы выполнены на сумму 56666,67 рублей. С учётом ранее выплаченного аванса, к оплате Исполнителю 50000,00 рублей».  И смысл ведь в том, чтобы договор актами закрылся на всю  сумму 170000,00 рублей?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  <w:t xml:space="preserve">Справочно: Благотворительный фонд, применяет упрощённую систему налогообложения «Доходы».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sana">
    <w:panose1 w:val="02000603000000000000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sana" w:hAnsi="Asana" w:eastAsia="Asana" w:cs="Asana"/>
        <w:sz w:val="3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67">
    <w:name w:val="Heading 1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2"/>
    <w:basedOn w:val="666"/>
    <w:next w:val="842"/>
    <w:link w:val="669"/>
    <w:uiPriority w:val="9"/>
    <w:unhideWhenUsed/>
    <w:qFormat/>
    <w:rPr>
      <w:rFonts w:ascii="Liberation Sans" w:hAnsi="Liberation Sans" w:eastAsia="Liberation Sans" w:cs="Liberation Sans"/>
    </w:rPr>
  </w:style>
  <w:style w:type="character" w:styleId="669">
    <w:name w:val="Heading 2 Char"/>
    <w:link w:val="668"/>
    <w:uiPriority w:val="9"/>
    <w:rPr>
      <w:rFonts w:ascii="Liberation Sans" w:hAnsi="Liberation Sans" w:eastAsia="Liberation Sans" w:cs="Liberation Sans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71">
    <w:name w:val="Heading 3 Char"/>
    <w:link w:val="670"/>
    <w:uiPriority w:val="9"/>
    <w:rPr>
      <w:rFonts w:ascii="Liberation Sans" w:hAnsi="Liberation Sans" w:cs="Liberation Sans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Liberation Sans" w:hAnsi="Liberation Sans" w:eastAsia="Liberation Sans" w:cs="Liberation Sans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Liberation Sans" w:hAnsi="Liberation Sans" w:eastAsia="Liberation Sans" w:cs="Liberation Sans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Liberation Sans" w:hAnsi="Liberation Sans" w:eastAsia="Liberation Sans" w:cs="Liberation Sans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Liberation Sans" w:hAnsi="Liberation Sans" w:eastAsia="Liberation Sans" w:cs="Liberation Sans"/>
    </w:r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uiPriority w:val="1"/>
    <w:qFormat/>
    <w:pPr>
      <w:spacing w:after="0" w:line="240" w:lineRule="auto"/>
    </w:pPr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character" w:styleId="84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Смирнова</cp:lastModifiedBy>
  <cp:revision>9</cp:revision>
  <dcterms:modified xsi:type="dcterms:W3CDTF">2024-01-15T17:37:51Z</dcterms:modified>
</cp:coreProperties>
</file>