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76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64kc92sub1tp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Вопросы к вебинару 22 сентября 2023 г. (вторник)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hd w:fill="ffffff" w:val="clear"/>
        <w:spacing w:after="120" w:line="360" w:lineRule="auto"/>
        <w:ind w:left="-141.7322834645671" w:firstLine="70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m375vrc6rf6s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. Евгения Валерьевна К.</w:t>
      </w:r>
    </w:p>
    <w:p w:rsidR="00000000" w:rsidDel="00000000" w:rsidP="00000000" w:rsidRDefault="00000000" w:rsidRPr="00000000" w14:paraId="00000004">
      <w:pPr>
        <w:pStyle w:val="Heading2"/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ozn6vochkdzl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20" w:line="276" w:lineRule="auto"/>
        <w:ind w:left="-141.7322834645671" w:firstLine="70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Недавно созданная Ассоциация просит разъяснить:</w:t>
      </w:r>
    </w:p>
    <w:p w:rsidR="00000000" w:rsidDel="00000000" w:rsidP="00000000" w:rsidRDefault="00000000" w:rsidRPr="00000000" w14:paraId="00000006">
      <w:pPr>
        <w:shd w:fill="ffffff" w:val="clear"/>
        <w:spacing w:after="120" w:line="276" w:lineRule="auto"/>
        <w:ind w:left="-141.7322834645671" w:firstLine="70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Может ли руководитель Ассоциации подписывать приказы, внутренние локальные акты, трудовые договоры и договоры ГПХ ЭЦП-подписью?</w:t>
      </w:r>
    </w:p>
    <w:p w:rsidR="00000000" w:rsidDel="00000000" w:rsidP="00000000" w:rsidRDefault="00000000" w:rsidRPr="00000000" w14:paraId="00000007">
      <w:pPr>
        <w:shd w:fill="ffffff" w:val="clear"/>
        <w:spacing w:after="120" w:line="276" w:lineRule="auto"/>
        <w:ind w:left="-141.7322834645671" w:firstLine="70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2. Руководитель  Ассоциации планирует поездку за границу на полгода и хочет передать полномочия ревизору на право подписания договоров, приказов, отчетности. Достаточно ли для передачи полномочий простой письменной доверенности от руководителя Ассоциации? </w:t>
      </w:r>
    </w:p>
    <w:p w:rsidR="00000000" w:rsidDel="00000000" w:rsidP="00000000" w:rsidRDefault="00000000" w:rsidRPr="00000000" w14:paraId="00000008">
      <w:pPr>
        <w:shd w:fill="ffffff" w:val="clear"/>
        <w:spacing w:after="120" w:line="276" w:lineRule="auto"/>
        <w:ind w:left="-141.7322834645671" w:firstLine="70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Вправе ли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Ассоциация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распределять членские годовые взносы только на выплату зарплаты руководителю (ставка 0,1) и услуги бухгалтера? Членов пока 5 человек и актуален вопрос по официальной оплате труда руководителю и бухгалтера, непосредственно уставную деятельность пока не осуществляем.</w:t>
      </w:r>
    </w:p>
    <w:p w:rsidR="00000000" w:rsidDel="00000000" w:rsidP="00000000" w:rsidRDefault="00000000" w:rsidRPr="00000000" w14:paraId="00000009">
      <w:pPr>
        <w:shd w:fill="ffffff" w:val="clear"/>
        <w:spacing w:after="120" w:line="276" w:lineRule="auto"/>
        <w:ind w:left="-141.7322834645671" w:firstLine="70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4. Вправе ли Ассоциация собирать с членов Ассоциации дополнительные взносы на проведение мероприятий по уставной деятельности Ассоциации? В уставе Ассоциации сказано, что Общее собрание членов вправе «принимать решения о дополнительных имущественных взносах членов ассоциации.»</w:t>
      </w:r>
    </w:p>
    <w:p w:rsidR="00000000" w:rsidDel="00000000" w:rsidP="00000000" w:rsidRDefault="00000000" w:rsidRPr="00000000" w14:paraId="0000000A">
      <w:pPr>
        <w:shd w:fill="ffffff" w:val="clear"/>
        <w:spacing w:after="120" w:line="276" w:lineRule="auto"/>
        <w:ind w:left="-141.7322834645671" w:firstLine="70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5. Вправе ли учредители, или член Ассоциации предоставлять деньги Ассоциации по договору займа, в том числе на обеспечение осуществления уставной деятельности?</w:t>
      </w:r>
    </w:p>
    <w:p w:rsidR="00000000" w:rsidDel="00000000" w:rsidP="00000000" w:rsidRDefault="00000000" w:rsidRPr="00000000" w14:paraId="0000000B">
      <w:pPr>
        <w:shd w:fill="ffffff" w:val="clear"/>
        <w:spacing w:after="120" w:line="276" w:lineRule="auto"/>
        <w:ind w:left="-141.7322834645671" w:firstLine="70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u4mwnov6qe8c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2. Светлана Юрьевна Д.</w:t>
      </w:r>
    </w:p>
    <w:p w:rsidR="00000000" w:rsidDel="00000000" w:rsidP="00000000" w:rsidRDefault="00000000" w:rsidRPr="00000000" w14:paraId="0000000D">
      <w:pPr>
        <w:pStyle w:val="Heading2"/>
        <w:shd w:fill="ffffff" w:val="clear"/>
        <w:spacing w:before="400" w:lineRule="auto"/>
        <w:ind w:firstLine="720"/>
        <w:jc w:val="both"/>
        <w:rPr/>
      </w:pPr>
      <w:bookmarkStart w:colFirst="0" w:colLast="0" w:name="_9ggvrwlt1wp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На прошедшем вебинаре 30 августа 2023 г. я задавала вопрос о проведении конкурса в профсоюзной организации (ПО) (вопрос №4). В настоящее время являюсь ревизором и хотела бы правильно понимать ситуацию с договором поручения. Во время вебинара мы не успеваем задать вопросы в чате. Прошу Вас, поясните, пожалуйста. Можно этот вопрос не выносить на следующий вебинар, а ответить на это письмо, правильно ли.</w:t>
      </w:r>
    </w:p>
    <w:p w:rsidR="00000000" w:rsidDel="00000000" w:rsidP="00000000" w:rsidRDefault="00000000" w:rsidRPr="00000000" w14:paraId="0000000F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По договору поручения все права и обязанности возникают у Доверителя ст.971 ГК РФ.</w:t>
      </w:r>
    </w:p>
    <w:p w:rsidR="00000000" w:rsidDel="00000000" w:rsidP="00000000" w:rsidRDefault="00000000" w:rsidRPr="00000000" w14:paraId="00000010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По итогам конкурса победители, занявшие три первых места, награждаются подарками (денежными премиями), остальные участники- подарками в натуральном виде. Доверитель финансирует конкурс по смете из своей прибыли.</w:t>
      </w:r>
    </w:p>
    <w:p w:rsidR="00000000" w:rsidDel="00000000" w:rsidP="00000000" w:rsidRDefault="00000000" w:rsidRPr="00000000" w14:paraId="00000011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Налоговой базой по НДФЛ признаются выплаты налогоплательщикам за счет средств налогового агента (п. 2 ст. 226 НК РФ). Налоговый агент по НДФЛ- лицо, являющееся источником выплаты доходов налогоплательщику (п.1 ст.226). Источником дохода физического лица при заключении договора поручения является Доверитель, поэтому Поверенный налоговым агентом по НДФЛ не признается.</w:t>
      </w:r>
    </w:p>
    <w:p w:rsidR="00000000" w:rsidDel="00000000" w:rsidP="00000000" w:rsidRDefault="00000000" w:rsidRPr="00000000" w14:paraId="00000012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По исполнении поручения Поверенный обязан без промедления возвратить доверенность и представить отчет с приложением оправдательных документов ст.974 ГК РФ.</w:t>
      </w:r>
    </w:p>
    <w:p w:rsidR="00000000" w:rsidDel="00000000" w:rsidP="00000000" w:rsidRDefault="00000000" w:rsidRPr="00000000" w14:paraId="00000013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Возможные проводки:</w:t>
      </w:r>
    </w:p>
    <w:p w:rsidR="00000000" w:rsidDel="00000000" w:rsidP="00000000" w:rsidRDefault="00000000" w:rsidRPr="00000000" w14:paraId="00000014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Например, предусмотрена премия победителю Иванову 20 000 руб.</w:t>
      </w:r>
    </w:p>
    <w:p w:rsidR="00000000" w:rsidDel="00000000" w:rsidP="00000000" w:rsidRDefault="00000000" w:rsidRPr="00000000" w14:paraId="00000015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Учет у Доверителя:</w:t>
      </w:r>
    </w:p>
    <w:p w:rsidR="00000000" w:rsidDel="00000000" w:rsidP="00000000" w:rsidRDefault="00000000" w:rsidRPr="00000000" w14:paraId="00000016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76 ПО / 51- 200 000- перечислены средства по договору поручения</w:t>
      </w:r>
    </w:p>
    <w:p w:rsidR="00000000" w:rsidDel="00000000" w:rsidP="00000000" w:rsidRDefault="00000000" w:rsidRPr="00000000" w14:paraId="00000017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После получения отчета Поверенного на сумму 197 920:</w:t>
      </w:r>
    </w:p>
    <w:p w:rsidR="00000000" w:rsidDel="00000000" w:rsidP="00000000" w:rsidRDefault="00000000" w:rsidRPr="00000000" w14:paraId="00000018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86 / 76 ПО- 180 000- отражены расходы по оказанным услугам при проведении конкурса</w:t>
      </w:r>
    </w:p>
    <w:p w:rsidR="00000000" w:rsidDel="00000000" w:rsidP="00000000" w:rsidRDefault="00000000" w:rsidRPr="00000000" w14:paraId="00000019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86 / 76 ПО- 20 000- начислена сумма премии Иванову</w:t>
      </w:r>
    </w:p>
    <w:p w:rsidR="00000000" w:rsidDel="00000000" w:rsidP="00000000" w:rsidRDefault="00000000" w:rsidRPr="00000000" w14:paraId="0000001A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76 ПО / 68- 2 080- удержан НДФЛ с суммы премии Иванова</w:t>
      </w:r>
    </w:p>
    <w:p w:rsidR="00000000" w:rsidDel="00000000" w:rsidP="00000000" w:rsidRDefault="00000000" w:rsidRPr="00000000" w14:paraId="0000001B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68 / 51- 2 080- перечислен НДФЛ в бюджет</w:t>
      </w:r>
    </w:p>
    <w:p w:rsidR="00000000" w:rsidDel="00000000" w:rsidP="00000000" w:rsidRDefault="00000000" w:rsidRPr="00000000" w14:paraId="0000001C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51 / 76 ПО- 2 080- возврат неиспользованных средств от Поверенного</w:t>
      </w:r>
    </w:p>
    <w:p w:rsidR="00000000" w:rsidDel="00000000" w:rsidP="00000000" w:rsidRDefault="00000000" w:rsidRPr="00000000" w14:paraId="0000001D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Учет у Поверенного:</w:t>
      </w:r>
    </w:p>
    <w:p w:rsidR="00000000" w:rsidDel="00000000" w:rsidP="00000000" w:rsidRDefault="00000000" w:rsidRPr="00000000" w14:paraId="0000001E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51 / 76 Доверитель- 200 000- получены средства по договору поручения</w:t>
      </w:r>
    </w:p>
    <w:p w:rsidR="00000000" w:rsidDel="00000000" w:rsidP="00000000" w:rsidRDefault="00000000" w:rsidRPr="00000000" w14:paraId="0000001F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60 / 51- 180 000- перечислено поставщикам услуг</w:t>
      </w:r>
    </w:p>
    <w:p w:rsidR="00000000" w:rsidDel="00000000" w:rsidP="00000000" w:rsidRDefault="00000000" w:rsidRPr="00000000" w14:paraId="00000020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76 Доверитель / 60- 180 000- приняты услуги по проведению конкурса и отнесены на расчеты с Доверителем</w:t>
      </w:r>
    </w:p>
    <w:p w:rsidR="00000000" w:rsidDel="00000000" w:rsidP="00000000" w:rsidRDefault="00000000" w:rsidRPr="00000000" w14:paraId="00000021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76 Доверитель / 51- 17 920- выдана премия Иванову и отнесена на расчеты с Доверителем</w:t>
      </w:r>
    </w:p>
    <w:p w:rsidR="00000000" w:rsidDel="00000000" w:rsidP="00000000" w:rsidRDefault="00000000" w:rsidRPr="00000000" w14:paraId="00000022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76 Доверитель / 51- 2 080- возвращены неиспользованные средства Доверителю</w:t>
      </w:r>
    </w:p>
    <w:p w:rsidR="00000000" w:rsidDel="00000000" w:rsidP="00000000" w:rsidRDefault="00000000" w:rsidRPr="00000000" w14:paraId="00000023">
      <w:pPr>
        <w:pStyle w:val="Heading1"/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bookmarkStart w:colFirst="0" w:colLast="0" w:name="_dbe74vn5pnt9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shd w:fill="ffffff" w:val="clear"/>
        <w:spacing w:after="120" w:lineRule="auto"/>
        <w:ind w:left="-141.7322834645671" w:firstLine="70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8ykbunobg2sf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. Олеся Валентиновна А.</w:t>
      </w:r>
    </w:p>
    <w:p w:rsidR="00000000" w:rsidDel="00000000" w:rsidP="00000000" w:rsidRDefault="00000000" w:rsidRPr="00000000" w14:paraId="00000025">
      <w:pPr>
        <w:pStyle w:val="Heading2"/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bookmarkStart w:colFirst="0" w:colLast="0" w:name="_xc5xa8u9dxs9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Правомерно ли отражать в программных расходах благотворительного фонда бухгалтерского учета произведенные затраты службой фандрайзинга (расходы на рекламу и маркетинг, расходы на развитие фандрайзинга и тд), а также их заработную плату, включая налоги и отчисления с ФОТ?. Или они относятся исключительно к административным расходам в НКО?</w:t>
      </w:r>
    </w:p>
    <w:p w:rsidR="00000000" w:rsidDel="00000000" w:rsidP="00000000" w:rsidRDefault="00000000" w:rsidRPr="00000000" w14:paraId="00000027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Работа службы фандрайзинга в Фонде направлена на привлечение денежных средств для реализации благотворительных программ в рамках его уставной деятельности.</w:t>
      </w:r>
    </w:p>
    <w:p w:rsidR="00000000" w:rsidDel="00000000" w:rsidP="00000000" w:rsidRDefault="00000000" w:rsidRPr="00000000" w14:paraId="00000028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iha0iajlprk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4. Ольга Владимировна К.</w:t>
      </w:r>
    </w:p>
    <w:p w:rsidR="00000000" w:rsidDel="00000000" w:rsidP="00000000" w:rsidRDefault="00000000" w:rsidRPr="00000000" w14:paraId="0000002A">
      <w:pPr>
        <w:pStyle w:val="Heading2"/>
        <w:shd w:fill="ffffff" w:val="clear"/>
        <w:spacing w:before="40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bookmarkStart w:colFirst="0" w:colLast="0" w:name="_zdj9uy4edccq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Вопрос касается годовой отчетности благотворительного фонда: в Отчёте о целевом использовании средств (ОЦИС) в прочих расходах отражены отдельной строкой убытки – курсовые разницы по валютным операциям за 2022 год. </w:t>
      </w:r>
    </w:p>
    <w:p w:rsidR="00000000" w:rsidDel="00000000" w:rsidP="00000000" w:rsidRDefault="00000000" w:rsidRPr="00000000" w14:paraId="0000002C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 публичном годовом отчете (в финансовой части), размещенном на сайте Фонда. отражены все расходы в соответствии с ОЦИС, кроме курсовых разниц (прочие расходы и не упоминали). Обязательно ли соответствие этих отчетов по итогам? Отражать ли курсовые разницы (положительные или отрицательные) в Отчете о деятельности в Минюст?</w:t>
      </w:r>
    </w:p>
    <w:p w:rsidR="00000000" w:rsidDel="00000000" w:rsidP="00000000" w:rsidRDefault="00000000" w:rsidRPr="00000000" w14:paraId="0000002D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lnxmem3cjs95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. Маргарита Николаевна К.</w:t>
      </w:r>
    </w:p>
    <w:p w:rsidR="00000000" w:rsidDel="00000000" w:rsidP="00000000" w:rsidRDefault="00000000" w:rsidRPr="00000000" w14:paraId="0000002F">
      <w:pPr>
        <w:pStyle w:val="Heading2"/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w7j9vnvq6h0t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120" w:line="360" w:lineRule="auto"/>
        <w:ind w:left="-141.7322834645671" w:firstLine="70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ФОНД просит разъяснить, как применяется данное положение для – ЕФС-1, раздел 1, подраздел 1.1.</w:t>
      </w:r>
    </w:p>
    <w:p w:rsidR="00000000" w:rsidDel="00000000" w:rsidP="00000000" w:rsidRDefault="00000000" w:rsidRPr="00000000" w14:paraId="00000031">
      <w:pPr>
        <w:shd w:fill="ffffff" w:val="clear"/>
        <w:spacing w:after="120" w:line="360" w:lineRule="auto"/>
        <w:ind w:left="-141.7322834645671" w:firstLine="70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06 марта 2023 была отправлена по ТКС вышеуказанная отчетность в СФР - статус: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не Сдано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, далее повторно от 11 марта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Сдано, частично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и 16 марта 2023-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Сдано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. Пятидневный срок представления уточненных (исправленных) сведений Фондом не был нарушен?</w:t>
      </w:r>
    </w:p>
    <w:p w:rsidR="00000000" w:rsidDel="00000000" w:rsidP="00000000" w:rsidRDefault="00000000" w:rsidRPr="00000000" w14:paraId="00000032">
      <w:pPr>
        <w:shd w:fill="ffffff" w:val="clear"/>
        <w:spacing w:after="120" w:line="360" w:lineRule="auto"/>
        <w:ind w:left="-141.7322834645671" w:firstLine="705"/>
        <w:jc w:val="both"/>
        <w:rPr>
          <w:rFonts w:ascii="Times New Roman" w:cs="Times New Roman" w:eastAsia="Times New Roman" w:hAnsi="Times New Roman"/>
          <w:color w:val="2c2d2e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(В случае представления страхователем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уточненных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(исправленных) индивидуальных сведений о зарегистрированных лицах, предусмотренных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228007"/>
            <w:sz w:val="36"/>
            <w:szCs w:val="36"/>
            <w:u w:val="single"/>
            <w:rtl w:val="0"/>
          </w:rPr>
          <w:t xml:space="preserve">пунктом 2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статьи 11 Федерального закона от 1 апреля 1996 г. N 27-ФЗ, в отношении которых территориальным органом Фонда страхователю вручено уведомление об устранении имеющихся в индивидуальных сведениях ошибок и несоответствий,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течение пяти рабочих дней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со дня получения данного уведомления к такому страхователю финансовые санкции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не применяются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2c2d2e"/>
          <w:sz w:val="36"/>
          <w:szCs w:val="36"/>
          <w:rtl w:val="0"/>
        </w:rPr>
        <w:t xml:space="preserve">(в ред. Приказа Минтруда РФ от 03.04.2023 N 256н). </w:t>
      </w:r>
    </w:p>
    <w:p w:rsidR="00000000" w:rsidDel="00000000" w:rsidP="00000000" w:rsidRDefault="00000000" w:rsidRPr="00000000" w14:paraId="00000033">
      <w:pPr>
        <w:pStyle w:val="Heading1"/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uewdtedngtbl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6. Марина К.</w:t>
      </w:r>
    </w:p>
    <w:p w:rsidR="00000000" w:rsidDel="00000000" w:rsidP="00000000" w:rsidRDefault="00000000" w:rsidRPr="00000000" w14:paraId="00000034">
      <w:pPr>
        <w:pStyle w:val="Heading2"/>
        <w:shd w:fill="ffffff" w:val="clear"/>
        <w:spacing w:before="40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bookmarkStart w:colFirst="0" w:colLast="0" w:name="_vxi4enkzn19q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Мы хотим помогать нашим благополучателям, которые имеют электронный сертификат на покупку ТСР, недостающими денежными средствами.</w:t>
      </w:r>
    </w:p>
    <w:p w:rsidR="00000000" w:rsidDel="00000000" w:rsidP="00000000" w:rsidRDefault="00000000" w:rsidRPr="00000000" w14:paraId="00000036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Но столкнулись с документооборотом.</w:t>
      </w:r>
    </w:p>
    <w:p w:rsidR="00000000" w:rsidDel="00000000" w:rsidP="00000000" w:rsidRDefault="00000000" w:rsidRPr="00000000" w14:paraId="00000037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Если нам нужно доплачивать магазину недостающие д/средства, то нам будет достаточно трехстороннего договора между магазином-фондом-благополучателем об оплате фондом недостающей суммы? потому, что в этом случае в документах (УПД, накладная) будет фигурировать только благополучатель и в графе плательщик и в графе грузополучатель.</w:t>
      </w:r>
    </w:p>
    <w:p w:rsidR="00000000" w:rsidDel="00000000" w:rsidP="00000000" w:rsidRDefault="00000000" w:rsidRPr="00000000" w14:paraId="00000038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Или вот в одном из магазинов нам сказали, что денежные средства перечисляются на карту благополучателя, а они уже потом их списывают вместе с электронным сертификатом.</w:t>
      </w:r>
    </w:p>
    <w:p w:rsidR="00000000" w:rsidDel="00000000" w:rsidP="00000000" w:rsidRDefault="00000000" w:rsidRPr="00000000" w14:paraId="00000039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Как в этом случае лучше оформить документы?  Договором между фондом и благополучателем?</w:t>
      </w:r>
    </w:p>
    <w:p w:rsidR="00000000" w:rsidDel="00000000" w:rsidP="00000000" w:rsidRDefault="00000000" w:rsidRPr="00000000" w14:paraId="0000003A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120" w:lineRule="auto"/>
        <w:ind w:left="-141.7322834645671" w:firstLine="70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0" w:before="220" w:line="276" w:lineRule="auto"/>
        <w:ind w:left="0" w:right="0"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48204#l1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