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1D85" w14:textId="77777777" w:rsidR="00BB774A" w:rsidRPr="00BB774A" w:rsidRDefault="008A4F09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0" w:after="12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t xml:space="preserve">ВОПРОС </w:t>
      </w:r>
      <w:r w:rsidR="004A6A62" w:rsidRPr="004A6A6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t xml:space="preserve">2. </w:t>
      </w:r>
      <w:r w:rsidR="00BB774A" w:rsidRPr="00BB774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t>Елена Г.</w:t>
      </w:r>
    </w:p>
    <w:p w14:paraId="40D8C0D3" w14:textId="77777777" w:rsidR="00BB774A" w:rsidRPr="00BB774A" w:rsidRDefault="00BB774A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Мы благотворительный фонд на УСН (Доходы 6%), подлежим обязательному аудиту.</w:t>
      </w:r>
    </w:p>
    <w:p w14:paraId="566A3857" w14:textId="77777777" w:rsidR="00BB774A" w:rsidRPr="00BB774A" w:rsidRDefault="00BB774A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Арендуем офис по краткосрочному договору (11 месяцев), который после окончания срока продлевался два раза.</w:t>
      </w:r>
    </w:p>
    <w:p w14:paraId="44004BB4" w14:textId="77777777" w:rsidR="00BB774A" w:rsidRPr="00BB774A" w:rsidRDefault="00BB774A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Договор не зарегистрирован.</w:t>
      </w:r>
    </w:p>
    <w:p w14:paraId="5A651A05" w14:textId="77777777" w:rsidR="00BB774A" w:rsidRPr="00BB774A" w:rsidRDefault="00BB774A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В этом году сдали часть помещения в субаренду до конца года.</w:t>
      </w:r>
    </w:p>
    <w:p w14:paraId="73A425A7" w14:textId="77777777" w:rsidR="00BB774A" w:rsidRPr="00BB774A" w:rsidRDefault="00BB774A" w:rsidP="00BB7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Правильно ли я понимаю, что с момента сдачи в субаренду мы должны применять ФСБУ 25/2018?</w:t>
      </w:r>
    </w:p>
    <w:p w14:paraId="409684CD" w14:textId="6789E86C" w:rsidR="00BB774A" w:rsidRPr="009A7485" w:rsidRDefault="00BB774A" w:rsidP="009A7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color w:val="000000"/>
          <w:kern w:val="36"/>
          <w:sz w:val="20"/>
          <w:szCs w:val="20"/>
          <w:lang w:eastAsia="ru-RU"/>
          <w14:ligatures w14:val="none"/>
        </w:rPr>
        <w:t>Если да, то помогите, пожалуйста, с проводками и с выбором варианта учета: операционная или финансовая аренда?</w:t>
      </w:r>
    </w:p>
    <w:p w14:paraId="513DAFDC" w14:textId="01487843" w:rsidR="008A4F09" w:rsidRDefault="008A4F09" w:rsidP="004A6A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</w:p>
    <w:p w14:paraId="543A5BCF" w14:textId="3C6F900C" w:rsidR="00626EE7" w:rsidRPr="00626EE7" w:rsidRDefault="00626EE7" w:rsidP="004A6A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626EE7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ФСБУ 25/2018</w:t>
      </w:r>
    </w:p>
    <w:p w14:paraId="1AED5DB1" w14:textId="77777777" w:rsidR="00626EE7" w:rsidRDefault="00626EE7" w:rsidP="004A6A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</w:p>
    <w:p w14:paraId="741CDB7A" w14:textId="77777777" w:rsidR="008A4F09" w:rsidRPr="008A4F09" w:rsidRDefault="008A4F09" w:rsidP="008A4F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5. В целях настоящего Стандарта объекты бухгалтерского учета классифицируются как </w:t>
      </w:r>
      <w:r w:rsidRPr="0033472E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объекты учета аренды</w:t>
      </w: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при единовременном выполнении следующих условий:</w:t>
      </w:r>
    </w:p>
    <w:p w14:paraId="121CD67A" w14:textId="77777777" w:rsidR="008A4F09" w:rsidRPr="008A4F09" w:rsidRDefault="008A4F09" w:rsidP="008A4F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1) арендодатель предоставляет арендатору предмет аренды </w:t>
      </w:r>
      <w:r w:rsidRPr="008A4F0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на определенный срок</w:t>
      </w: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;</w:t>
      </w:r>
    </w:p>
    <w:p w14:paraId="775CC33C" w14:textId="77777777" w:rsidR="008A4F09" w:rsidRPr="008A4F09" w:rsidRDefault="008A4F09" w:rsidP="008A4F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2</w:t>
      </w:r>
      <w:r w:rsidRPr="008A4F0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) предмет аренды идентифицируется</w:t>
      </w: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(предмет аренды определен в договоре аренды, и этим договором не предусмотрено право арендодателя по своему усмотрению заменить предмет аренды в любой момент в течение срока аренды);</w:t>
      </w:r>
    </w:p>
    <w:p w14:paraId="3CBAC87D" w14:textId="77777777" w:rsidR="008A4F09" w:rsidRPr="008A4F09" w:rsidRDefault="008A4F09" w:rsidP="008A4F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3) арендатор </w:t>
      </w:r>
      <w:r w:rsidRPr="008A4F0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имеет право на получение экономических выгод</w:t>
      </w: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от использования предмета аренды в течение срока аренды;</w:t>
      </w:r>
    </w:p>
    <w:p w14:paraId="2D28967F" w14:textId="64AA2844" w:rsidR="008A4F09" w:rsidRDefault="008A4F09" w:rsidP="008A4F0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4) арендатор </w:t>
      </w:r>
      <w:r w:rsidRPr="008A4F09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>имеет право определять, как и для какой цели используется предмет аренды</w:t>
      </w:r>
      <w:r w:rsidRPr="008A4F09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  <w:t xml:space="preserve"> в той степени, в которой это не предопределено техническими характеристиками предмета аренды.</w:t>
      </w:r>
    </w:p>
    <w:p w14:paraId="02EBF7FC" w14:textId="31952FC7" w:rsidR="008A4F09" w:rsidRDefault="008A4F09" w:rsidP="004A6A6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:lang w:eastAsia="ru-RU"/>
          <w14:ligatures w14:val="none"/>
        </w:rPr>
      </w:pPr>
    </w:p>
    <w:p w14:paraId="60DC1D87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11. При выполнении условий, установленных пунктом 12 настоящего Стандарта, арендатор может не признавать предмет аренды в качестве права пользования активом и </w:t>
      </w:r>
      <w:r w:rsidRPr="0033472E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не признавать обязательство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по аренде в любом из следующих случаев:</w:t>
      </w:r>
    </w:p>
    <w:p w14:paraId="7765A094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</w:t>
      </w:r>
      <w:r w:rsidRPr="00B13A6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) срок аренды не превышает 12 месяцев на дату предоставления предмета аренды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;</w:t>
      </w:r>
    </w:p>
    <w:p w14:paraId="10CE341F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б) рыночная стоимость предмета аренды без учета износа (то есть стоимость аналогичного нового объекта) не превышает 300 000 руб. и при этом арендатор имеет возможность получать экономические выгоды от предмета аренды преимущественно независимо от других активов;</w:t>
      </w:r>
    </w:p>
    <w:p w14:paraId="51B24188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в) </w:t>
      </w:r>
      <w:r w:rsidRPr="0074030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арендатор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 (далее - упрощенные способы учета).</w:t>
      </w:r>
    </w:p>
    <w:p w14:paraId="69CD24AE" w14:textId="77777777" w:rsidR="00B13A6B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6F3A6C6" w14:textId="4E1DA49E" w:rsidR="0074030B" w:rsidRPr="0074030B" w:rsidRDefault="0074030B" w:rsidP="0074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  <w14:ligatures w14:val="none"/>
        </w:rPr>
      </w:pPr>
      <w:r w:rsidRPr="0074030B"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  <w14:ligatures w14:val="none"/>
        </w:rPr>
        <w:t>СПРАВОЧНО:</w:t>
      </w:r>
    </w:p>
    <w:p w14:paraId="7590F269" w14:textId="778A8387" w:rsidR="0074030B" w:rsidRPr="0074030B" w:rsidRDefault="0074030B" w:rsidP="0074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  <w14:ligatures w14:val="none"/>
        </w:rPr>
      </w:pPr>
      <w:r w:rsidRPr="0074030B">
        <w:rPr>
          <w:rFonts w:ascii="Arial" w:eastAsia="Times New Roman" w:hAnsi="Arial" w:cs="Arial"/>
          <w:i/>
          <w:iCs/>
          <w:kern w:val="0"/>
          <w:sz w:val="20"/>
          <w:szCs w:val="20"/>
          <w:lang w:eastAsia="ru-RU"/>
          <w14:ligatures w14:val="none"/>
        </w:rPr>
        <w:t>ФСБУ 5/2019 и ФСБУ 6/2020 содержат следующие условия признания актива:</w:t>
      </w:r>
    </w:p>
    <w:p w14:paraId="6483BC97" w14:textId="77777777" w:rsidR="0074030B" w:rsidRDefault="0074030B" w:rsidP="0074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E48F517" w14:textId="77777777" w:rsidR="0074030B" w:rsidRDefault="0074030B" w:rsidP="00740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 xml:space="preserve">понесенные затраты обеспечат </w:t>
      </w:r>
      <w:r w:rsidRPr="0074030B">
        <w:rPr>
          <w:rFonts w:ascii="Arial" w:hAnsi="Arial" w:cs="Arial"/>
          <w:b/>
          <w:bCs/>
          <w:kern w:val="0"/>
          <w:sz w:val="20"/>
          <w:szCs w:val="20"/>
        </w:rPr>
        <w:t>получение в будущем экономических выгод организацией, (достижение некоммерческой организацией целей, ради которых она создана)</w:t>
      </w:r>
      <w:r>
        <w:rPr>
          <w:rFonts w:ascii="Arial" w:hAnsi="Arial" w:cs="Arial"/>
          <w:kern w:val="0"/>
          <w:sz w:val="20"/>
          <w:szCs w:val="20"/>
        </w:rPr>
        <w:t xml:space="preserve"> в течение периода более 12 месяцев или обычного операционного цикла, превышающего 12 месяцев;</w:t>
      </w:r>
    </w:p>
    <w:p w14:paraId="5BF9FF16" w14:textId="77777777" w:rsidR="0074030B" w:rsidRDefault="0074030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CF72044" w14:textId="589BBDCC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12. Применение арендатором пункта 11 настоящего Стандарта допускается при одновременном выполнении следующих условий:</w:t>
      </w:r>
    </w:p>
    <w:p w14:paraId="5F9DC79D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а)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выкупа;</w:t>
      </w:r>
    </w:p>
    <w:p w14:paraId="42FFB611" w14:textId="77777777" w:rsidR="00626EE7" w:rsidRPr="00B13A6B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б) </w:t>
      </w:r>
      <w:r w:rsidRPr="00B13A6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предмет аренды не предполагается предоставлять в субаренду.</w:t>
      </w:r>
    </w:p>
    <w:p w14:paraId="266143B5" w14:textId="77777777" w:rsidR="00B13A6B" w:rsidRPr="00626EE7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6F87075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13. </w:t>
      </w:r>
      <w:r w:rsidRPr="0033472E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Право пользования активом признается по фактической стоимости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. Фактическая стоимость права пользования активом включает:</w:t>
      </w:r>
    </w:p>
    <w:p w14:paraId="63FF20E1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а) величину первоначальной оценки обязательства по аренде;</w:t>
      </w:r>
    </w:p>
    <w:p w14:paraId="4D9D328D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б) арендные платежи, осуществленные на дату предоставления предмета аренды или до такой даты;</w:t>
      </w:r>
    </w:p>
    <w:p w14:paraId="22A92AC2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в) затраты арендатора в связи с поступлением предмета аренды и приведением его в состояние, пригодное для использования в запланированных целях;</w:t>
      </w:r>
    </w:p>
    <w:p w14:paraId="4EDA1EA8" w14:textId="7777777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г) величину подлежащего исполнению арендатором оценочного обязательства, в частности, по демонтажу, перемещению предмета аренды, восстановлению окружающей среды, 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lastRenderedPageBreak/>
        <w:t>восстановлению предмета аренды до требуемого договором аренды состояния, если возникновение такого обязательства у арендатора обусловлено получением предмета аренды.</w:t>
      </w:r>
    </w:p>
    <w:p w14:paraId="4356A5BC" w14:textId="6F474452" w:rsidR="008A4F09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Арендатор, который вправе применять упрощенные способы учета, может рассчитывать фактическую стоимость права пользования активом исходя из подпунктов "а" и "б" настоящего пункта. При принятии такого решения затраты, указанные в подпунктах "в" и "г" настоящего пункта, признаются расходами периода, в котором были понесены.</w:t>
      </w:r>
    </w:p>
    <w:p w14:paraId="1C14F0CE" w14:textId="6A66E1C7" w:rsid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3F4758A7" w14:textId="7890E515" w:rsidR="00BB774A" w:rsidRDefault="00BB774A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УЧЕТ У АРЕНДАТОРА</w:t>
      </w:r>
    </w:p>
    <w:p w14:paraId="538AF90E" w14:textId="77777777" w:rsidR="00BB774A" w:rsidRDefault="00BB774A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09259016" w14:textId="0DA648E6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Право пользования активом (ППА)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учитыва</w:t>
      </w: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ется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на счете 01 и амортизиру</w:t>
      </w: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ется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. Стоимость права равна сумме обязательства по аренде и платежей, перечисленных до получения недвижимости в аренду. Срок полезного использования равен сроку аренды (п. п. 13, 17 ФСБУ 25/2018).</w:t>
      </w:r>
    </w:p>
    <w:p w14:paraId="07F0926C" w14:textId="6F72D11B" w:rsid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Обязательство по аренде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</w:t>
      </w: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отражается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на счете 76 по приведенной стоимости арендных платежей. Она равна номинальной сумме будущих платежей, дисконтированной по ставке, по которой вы можете получить заем на сопоставимый срок. По этой ставке ежемесячно начисля</w:t>
      </w: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ются 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проценты на остаток обязательства и уменьша</w:t>
      </w: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ется</w:t>
      </w: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текущий платеж (п. п. 14, 15, 18 ФСБУ 25/2018).</w:t>
      </w:r>
    </w:p>
    <w:p w14:paraId="03211C54" w14:textId="190BC349" w:rsidR="00626EE7" w:rsidRPr="00BB774A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единовременно</w:t>
      </w:r>
    </w:p>
    <w:p w14:paraId="20435794" w14:textId="180F5216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 08.04 – К 76.07.1 Отражено первоначальное обязательство перед арендодателем  </w:t>
      </w:r>
    </w:p>
    <w:p w14:paraId="5283944B" w14:textId="3408D35C" w:rsid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 01.03 – К 08.04 Отражено право пользования активом  </w:t>
      </w:r>
    </w:p>
    <w:p w14:paraId="1918CA12" w14:textId="6DF734D4" w:rsidR="00BB774A" w:rsidRPr="00626EE7" w:rsidRDefault="00BB774A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 76.07.5 – К 76.07.1 Отражены проценты за весь период договора</w:t>
      </w:r>
    </w:p>
    <w:p w14:paraId="1CDCDEAF" w14:textId="2FB9CB68" w:rsidR="00626EE7" w:rsidRPr="00BB774A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 xml:space="preserve">ежемесячно  </w:t>
      </w:r>
    </w:p>
    <w:p w14:paraId="6057A674" w14:textId="522C1F30" w:rsid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 76.07.1 – К 76.07.2 Начислен платеж в части уменьшения первоначального обязательства по аренде</w:t>
      </w:r>
    </w:p>
    <w:p w14:paraId="2DDDA18E" w14:textId="78D9E827" w:rsidR="00626EE7" w:rsidRP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626EE7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 76.07.2 – К 51 Перечислен арендный платеж  </w:t>
      </w:r>
    </w:p>
    <w:p w14:paraId="2B17BCC4" w14:textId="2314C2E6" w:rsidR="00626EE7" w:rsidRPr="00BB774A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 20 (26, 86) – К 76.07.</w:t>
      </w:r>
      <w:r w:rsidR="00BB774A" w:rsidRPr="00BB774A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5</w:t>
      </w:r>
      <w:r w:rsidRPr="00BB774A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Начислены проценты  </w:t>
      </w:r>
    </w:p>
    <w:p w14:paraId="7F565DC5" w14:textId="6496559D" w:rsidR="00626EE7" w:rsidRDefault="00626EE7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BB774A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 20 (26, 86) – К 02.03 Начислена амортизация по праву пользования активом</w:t>
      </w:r>
    </w:p>
    <w:p w14:paraId="6E89183D" w14:textId="77777777" w:rsidR="00163D79" w:rsidRDefault="00163D7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111F2ED" w14:textId="4648324F" w:rsidR="00163D79" w:rsidRPr="00163D79" w:rsidRDefault="00163D7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163D79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УЧЕТ У АРЕНДОДАТЕЛЯ</w:t>
      </w:r>
    </w:p>
    <w:p w14:paraId="22231256" w14:textId="77777777" w:rsidR="00163D79" w:rsidRDefault="00163D79" w:rsidP="00163D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29329D67" w14:textId="7BC07A5C" w:rsidR="00163D79" w:rsidRPr="00163D79" w:rsidRDefault="00163D79" w:rsidP="00163D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63D79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41. В случае классификации объектов учета аренды в качестве объектов учета операционной аренды арендодатель не изменяет прежний принятый порядок учета актива в связи с его передачей в аренду, за исключением изменения оценочных значений.</w:t>
      </w:r>
    </w:p>
    <w:p w14:paraId="15CD303E" w14:textId="77777777" w:rsidR="00163D79" w:rsidRPr="00163D79" w:rsidRDefault="00163D79" w:rsidP="00163D79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63D79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42. Доходы по операционной аренде признаются </w:t>
      </w:r>
      <w:r w:rsidRPr="00B13A6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равномерно или на основе другого систематического подхода</w:t>
      </w:r>
      <w:r w:rsidRPr="00163D79"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, отражающего характер использования арендатором экономических выгод от предмета аренды.</w:t>
      </w:r>
    </w:p>
    <w:p w14:paraId="1FFCDA06" w14:textId="77777777" w:rsidR="00163D79" w:rsidRPr="00BB774A" w:rsidRDefault="00163D7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B7EF9F7" w14:textId="0C06704F" w:rsidR="00626EE7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е</w:t>
      </w:r>
      <w:r w:rsidRPr="00B13A6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жемесяч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н</w:t>
      </w:r>
      <w:r w:rsidRPr="00B13A6B"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  <w:t>о</w:t>
      </w:r>
    </w:p>
    <w:p w14:paraId="5A59F4F5" w14:textId="06FCC4F1" w:rsidR="00B13A6B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Д 76.05 – К 91.01 Отражена арендная плата по договору субаренды</w:t>
      </w:r>
    </w:p>
    <w:p w14:paraId="0EC8FCED" w14:textId="5F22E443" w:rsidR="00B13A6B" w:rsidRPr="00B13A6B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Д 51     </w:t>
      </w:r>
      <w:proofErr w:type="gramStart"/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>–  К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  <w:t xml:space="preserve"> 76.05 Отражено поступление платежа по договору субаренды</w:t>
      </w:r>
    </w:p>
    <w:p w14:paraId="311C5405" w14:textId="77777777" w:rsidR="00B13A6B" w:rsidRDefault="00B13A6B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2272390D" w14:textId="77777777" w:rsidR="00681299" w:rsidRDefault="0068129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0366DE59" w14:textId="77777777" w:rsidR="00681299" w:rsidRDefault="0068129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12537659" w14:textId="77777777" w:rsidR="00681299" w:rsidRPr="00B13A6B" w:rsidRDefault="00681299" w:rsidP="00626E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2517AABD" w14:textId="2C61227D" w:rsidR="00EF7A2D" w:rsidRPr="00EF7A2D" w:rsidRDefault="004A6A62" w:rsidP="00EF7A2D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00"/>
        <w:ind w:firstLine="567"/>
        <w:jc w:val="both"/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eastAsia="ru-RU"/>
          <w14:ligatures w14:val="none"/>
        </w:rPr>
      </w:pPr>
      <w:r w:rsidRPr="00B13A6B">
        <w:rPr>
          <w:rFonts w:ascii="Arial" w:hAnsi="Arial" w:cs="Arial"/>
          <w:b/>
          <w:bCs/>
          <w:sz w:val="20"/>
          <w:szCs w:val="20"/>
        </w:rPr>
        <w:br w:type="page"/>
      </w:r>
      <w:r w:rsidR="00EF7A2D" w:rsidRPr="00F76D58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ВОПРОС </w:t>
      </w:r>
      <w:r w:rsidR="00EF7A2D" w:rsidRPr="00F76D58">
        <w:rPr>
          <w:rFonts w:ascii="Arial" w:eastAsia="Times New Roman" w:hAnsi="Arial" w:cs="Arial"/>
          <w:b/>
          <w:bCs/>
          <w:color w:val="auto"/>
          <w:kern w:val="36"/>
          <w:sz w:val="20"/>
          <w:szCs w:val="20"/>
          <w:lang w:eastAsia="ru-RU"/>
          <w14:ligatures w14:val="none"/>
        </w:rPr>
        <w:t xml:space="preserve">5. </w:t>
      </w:r>
      <w:r w:rsidR="00EF7A2D" w:rsidRPr="00EF7A2D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t>Римма Викторовна С.</w:t>
      </w:r>
    </w:p>
    <w:p w14:paraId="17FDD10E" w14:textId="110F343D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7F49C8FE" w14:textId="77777777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Учётной политикой организации на 2022 г. предусмотрены переходные положения:</w:t>
      </w:r>
    </w:p>
    <w:p w14:paraId="4CB0C058" w14:textId="77777777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Переходные положения.</w:t>
      </w:r>
    </w:p>
    <w:p w14:paraId="33CFC46A" w14:textId="77777777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Последствия изменения учетной политики в связи с началом применения ФСБУ 6/2020 "Основные средства" отражаются </w:t>
      </w:r>
      <w:r w:rsidRPr="00EF7A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перспективно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(без изменения ранее сформированных данных бухгалтерского учета).</w:t>
      </w:r>
    </w:p>
    <w:p w14:paraId="44AEE52F" w14:textId="77777777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В бухгалтерской отчетности, начиная с 01.01.2022 в связи с началом применения ФСБУ 6/2020 "Основные средства", </w:t>
      </w:r>
      <w:r w:rsidRPr="00EF7A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не пересчитываются сравнительные показатели за периоды, предшествующие отчетному,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производится </w:t>
      </w:r>
      <w:r w:rsidRPr="00EF7A2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единовременная корректировка балансовой стоимости ОС на начало отчетного периода.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Для целей указанной корректировки балансовой стоимостью ОС считается их первоначальная стоимость, признанная до 01.01.2022 в соответствии с ранее применявшейся учетной политикой, за вычетом накопленного износа.</w:t>
      </w:r>
    </w:p>
    <w:p w14:paraId="049B0B47" w14:textId="4334560B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В отчетности за 2022 г., представленной аудитору входящие остатки ОС (на 31.12.2021_) указаны в той же сумме, что и исходящий остаток в отчетности 2021 г.  Мнение аудитора: в отчетности 2022 г. остаток на 2021 г. </w:t>
      </w:r>
      <w:proofErr w:type="spellStart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д.б</w:t>
      </w:r>
      <w:proofErr w:type="spellEnd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. скорректирован, т.е</w:t>
      </w:r>
      <w:r w:rsidR="006832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.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уменьшен на сумму износа.</w:t>
      </w:r>
    </w:p>
    <w:p w14:paraId="4B0C560B" w14:textId="32FE7D98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                    </w:t>
      </w:r>
      <w:r w:rsidR="00F76D58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  <w:r w:rsidR="00F76D58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  <w:r w:rsidR="00F76D58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  <w:r w:rsidR="00F76D58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  <w:proofErr w:type="gramStart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2021  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</w:r>
      <w:proofErr w:type="gramEnd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            2022</w:t>
      </w:r>
    </w:p>
    <w:p w14:paraId="334DC721" w14:textId="77777777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В балансе НКО за 20212 г. НКО             </w:t>
      </w:r>
    </w:p>
    <w:p w14:paraId="49DCFC61" w14:textId="0B26B9AA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proofErr w:type="spellStart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ст-ть</w:t>
      </w:r>
      <w:proofErr w:type="spellEnd"/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ОС                                                     23 000             519</w:t>
      </w:r>
    </w:p>
    <w:p w14:paraId="3DCAE257" w14:textId="341A70F2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предложение аудитора                         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  <w:t xml:space="preserve">2 300                </w:t>
      </w: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ab/>
        <w:t>519</w:t>
      </w:r>
    </w:p>
    <w:p w14:paraId="2B59F9ED" w14:textId="6E284854" w:rsidR="00EF7A2D" w:rsidRPr="00EF7A2D" w:rsidRDefault="00EF7A2D" w:rsidP="00EF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EF7A2D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Чья позиция – организации или аудитора - соответствует перспективному методу, предусмотренному ФСБУ 6/2020?</w:t>
      </w:r>
    </w:p>
    <w:p w14:paraId="1772441F" w14:textId="612FF5B3" w:rsidR="0068322D" w:rsidRDefault="0068322D" w:rsidP="006832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ФСБУ 6/2020</w:t>
      </w:r>
    </w:p>
    <w:p w14:paraId="11C0712B" w14:textId="1D711D00" w:rsidR="0068322D" w:rsidRPr="0068322D" w:rsidRDefault="0068322D" w:rsidP="0068322D">
      <w:pPr>
        <w:rPr>
          <w:rFonts w:ascii="Arial" w:hAnsi="Arial" w:cs="Arial"/>
          <w:b/>
          <w:bCs/>
          <w:sz w:val="20"/>
          <w:szCs w:val="20"/>
        </w:rPr>
      </w:pPr>
      <w:r w:rsidRPr="0068322D">
        <w:rPr>
          <w:rFonts w:ascii="Arial" w:hAnsi="Arial" w:cs="Arial"/>
          <w:b/>
          <w:bCs/>
          <w:sz w:val="20"/>
          <w:szCs w:val="20"/>
        </w:rPr>
        <w:t>VI. Изменение учетной политики</w:t>
      </w:r>
    </w:p>
    <w:p w14:paraId="1A22C51A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 xml:space="preserve">48. Последствия изменений учетной политики в связи с началом применения настоящего Стандарта отражаются </w:t>
      </w:r>
      <w:r w:rsidRPr="0068322D">
        <w:rPr>
          <w:rFonts w:ascii="Arial" w:hAnsi="Arial" w:cs="Arial"/>
          <w:b/>
          <w:bCs/>
          <w:sz w:val="20"/>
          <w:szCs w:val="20"/>
        </w:rPr>
        <w:t>ретроспективно</w:t>
      </w:r>
      <w:r w:rsidRPr="0068322D">
        <w:rPr>
          <w:rFonts w:ascii="Arial" w:hAnsi="Arial" w:cs="Arial"/>
          <w:sz w:val="20"/>
          <w:szCs w:val="20"/>
        </w:rPr>
        <w:t xml:space="preserve"> (как если бы настоящий Стандарт применялся с момента возникновения затрагиваемых им фактов хозяйственной жизни), если иное не установлено настоящим Стандартом.</w:t>
      </w:r>
    </w:p>
    <w:p w14:paraId="42F04040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 xml:space="preserve">49. В бухгалтерской (финансовой) отчетности организации, начиная с которой применяется настоящий Стандарт, </w:t>
      </w:r>
      <w:r w:rsidRPr="0068322D">
        <w:rPr>
          <w:rFonts w:ascii="Arial" w:hAnsi="Arial" w:cs="Arial"/>
          <w:b/>
          <w:bCs/>
          <w:sz w:val="20"/>
          <w:szCs w:val="20"/>
        </w:rPr>
        <w:t>допускается не пересчитывать сравнительные показатели за периоды, предшествующие отчетному, произведя единовременную корректировку балансовой стоимости основных средств на начало отчетного периода (конец периода, предшествующего отчетному) в соответствии с настоящим пунктом</w:t>
      </w:r>
      <w:r w:rsidRPr="0068322D">
        <w:rPr>
          <w:rFonts w:ascii="Arial" w:hAnsi="Arial" w:cs="Arial"/>
          <w:sz w:val="20"/>
          <w:szCs w:val="20"/>
        </w:rPr>
        <w:t xml:space="preserve">. </w:t>
      </w:r>
      <w:r w:rsidRPr="0068322D">
        <w:rPr>
          <w:rFonts w:ascii="Arial" w:hAnsi="Arial" w:cs="Arial"/>
          <w:i/>
          <w:iCs/>
          <w:sz w:val="20"/>
          <w:szCs w:val="20"/>
        </w:rPr>
        <w:t>Для целей указанной корректировки балансовой стоимостью основных средств считается их первоначальная стоимость (с учетом переоценок), признанная до начала применения настоящего Стандарта в соответствии с ранее применявшейся учетной политикой, за вычетом накопленной амортизации.</w:t>
      </w:r>
      <w:r w:rsidRPr="0068322D">
        <w:rPr>
          <w:rFonts w:ascii="Arial" w:hAnsi="Arial" w:cs="Arial"/>
          <w:sz w:val="20"/>
          <w:szCs w:val="20"/>
        </w:rPr>
        <w:t xml:space="preserve"> При этом накопленная амортизация рассчитывается в соответствии с настоящим Стандартом исходя из указанной первоначальной стоимости, ликвидационной стоимости и соотношения истекшего и оставшегося срока полезного использования, определенного в соответствии с настоящим Стандартом.</w:t>
      </w:r>
    </w:p>
    <w:p w14:paraId="15DDADDF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>Настоящий пункт применяется также в отношении объектов бухгалтерского учета, которые в соответствии с настоящим Стандартом должны классифицироваться как основные средства, но в соответствии с ранее применявшейся учетной политикой учитывались в составе активов других видов.</w:t>
      </w:r>
    </w:p>
    <w:p w14:paraId="7463F696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>В случае применения организацией способа оценки на основе переоцененной стоимости организация, применяющая настоящий пункт, должна провести на дату единовременной корректировки переоценку основных средств, к которым применяется данный способ оценки, и признать соответствующий накопленный результат дооценки основных средств (при наличии) в составе капитала, скорректировав (при необходимости) аналогичный показатель, сформированный до начала применения настоящего Стандарта в соответствии с ранее применявшейся учетной политикой.</w:t>
      </w:r>
    </w:p>
    <w:p w14:paraId="39F7C9A2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>Балансовая стоимость объектов, которые в соответствии с ранее применявшейся учетной политикой учитывались в составе основных средств, но в соответствии с настоящим Стандартом таковыми не являются, списывается в порядке единовременной корректировки на нераспределенную прибыль, за исключением случаев переклассификации таких объектов в другой вид активов.</w:t>
      </w:r>
    </w:p>
    <w:p w14:paraId="71FF307A" w14:textId="77777777" w:rsidR="0068322D" w:rsidRPr="0068322D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lastRenderedPageBreak/>
        <w:t>50. Изменения балансовой стоимости основных средств в связи с началом применения настоящего Стандарта, которые не связаны с изменениями других статей бухгалтерского баланса, списываются на нераспределенную прибыль.</w:t>
      </w:r>
    </w:p>
    <w:p w14:paraId="65F3B659" w14:textId="4D0E9343" w:rsidR="0068322D" w:rsidRPr="0068322D" w:rsidRDefault="0068322D" w:rsidP="0068322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 xml:space="preserve">51. </w:t>
      </w:r>
      <w:r w:rsidRPr="0068322D">
        <w:rPr>
          <w:rFonts w:ascii="Arial" w:hAnsi="Arial" w:cs="Arial"/>
          <w:b/>
          <w:bCs/>
          <w:sz w:val="20"/>
          <w:szCs w:val="20"/>
        </w:rPr>
        <w:t>Организация, которая вправе применять упрощенные способы ведения бухгалтерского учета, включая упрощенную бухгалтерскую (финансовую) отчетность, может начать применять настоящий Стандарт перспективно (только в отношении фактов хозяйственной жизни, имевших место после начала применения настоящего Стандарта, без изменения сформированных ранее данных бухгалтерского учета).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6867BB1" w14:textId="51A76240" w:rsidR="004A6A62" w:rsidRDefault="0068322D" w:rsidP="0068322D">
      <w:pPr>
        <w:jc w:val="both"/>
        <w:rPr>
          <w:rFonts w:ascii="Arial" w:hAnsi="Arial" w:cs="Arial"/>
          <w:sz w:val="20"/>
          <w:szCs w:val="20"/>
        </w:rPr>
      </w:pPr>
      <w:r w:rsidRPr="0068322D">
        <w:rPr>
          <w:rFonts w:ascii="Arial" w:hAnsi="Arial" w:cs="Arial"/>
          <w:sz w:val="20"/>
          <w:szCs w:val="20"/>
        </w:rPr>
        <w:t>52.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(финансовой) отчетности, составленной с применением настоящего Стандарта.</w:t>
      </w:r>
    </w:p>
    <w:p w14:paraId="26AA9623" w14:textId="77777777" w:rsidR="0011161F" w:rsidRDefault="0011161F" w:rsidP="0068322D">
      <w:pPr>
        <w:jc w:val="both"/>
        <w:rPr>
          <w:rFonts w:ascii="Arial" w:hAnsi="Arial" w:cs="Arial"/>
          <w:sz w:val="20"/>
          <w:szCs w:val="20"/>
        </w:rPr>
      </w:pPr>
    </w:p>
    <w:p w14:paraId="633FB77F" w14:textId="77777777" w:rsidR="007F73DA" w:rsidRDefault="007F73DA" w:rsidP="0068322D">
      <w:pPr>
        <w:jc w:val="both"/>
        <w:rPr>
          <w:rFonts w:ascii="Arial" w:hAnsi="Arial" w:cs="Arial"/>
          <w:sz w:val="20"/>
          <w:szCs w:val="20"/>
        </w:rPr>
      </w:pPr>
      <w:r w:rsidRPr="007F73DA">
        <w:rPr>
          <w:rFonts w:ascii="Arial" w:hAnsi="Arial" w:cs="Arial"/>
          <w:sz w:val="20"/>
          <w:szCs w:val="20"/>
        </w:rPr>
        <w:t xml:space="preserve">Рекомендация Р-135/2022-ОК НКО «Переход на новый порядок учета основных средств в некоммерческих </w:t>
      </w:r>
      <w:r>
        <w:rPr>
          <w:rFonts w:ascii="Arial" w:hAnsi="Arial" w:cs="Arial"/>
          <w:sz w:val="20"/>
          <w:szCs w:val="20"/>
        </w:rPr>
        <w:t>о</w:t>
      </w:r>
      <w:r w:rsidRPr="007F73DA">
        <w:rPr>
          <w:rFonts w:ascii="Arial" w:hAnsi="Arial" w:cs="Arial"/>
          <w:sz w:val="20"/>
          <w:szCs w:val="20"/>
        </w:rPr>
        <w:t>рганизациях»</w:t>
      </w:r>
    </w:p>
    <w:p w14:paraId="4D15B022" w14:textId="0C6FCA19" w:rsidR="007F73DA" w:rsidRDefault="007F73DA" w:rsidP="0068322D">
      <w:pPr>
        <w:jc w:val="both"/>
        <w:rPr>
          <w:rFonts w:ascii="Arial" w:hAnsi="Arial" w:cs="Arial"/>
          <w:sz w:val="20"/>
          <w:szCs w:val="20"/>
        </w:rPr>
      </w:pPr>
      <w:hyperlink r:id="rId5" w:history="1">
        <w:r w:rsidRPr="005C7C19">
          <w:rPr>
            <w:rStyle w:val="a3"/>
            <w:rFonts w:ascii="Arial" w:hAnsi="Arial" w:cs="Arial"/>
            <w:sz w:val="20"/>
            <w:szCs w:val="20"/>
          </w:rPr>
          <w:t>http://bmcenter.ru/Files/R_NKO_Perehod_na_movuy_poryadok_uchette_OS_v_NKO</w:t>
        </w:r>
      </w:hyperlink>
    </w:p>
    <w:p w14:paraId="32D5A2E8" w14:textId="77777777" w:rsidR="007F73DA" w:rsidRDefault="007F73DA" w:rsidP="0068322D">
      <w:pPr>
        <w:jc w:val="both"/>
        <w:rPr>
          <w:rFonts w:ascii="Arial" w:hAnsi="Arial" w:cs="Arial"/>
          <w:sz w:val="20"/>
          <w:szCs w:val="20"/>
        </w:rPr>
      </w:pPr>
    </w:p>
    <w:p w14:paraId="52F9050A" w14:textId="36432B12" w:rsidR="0011161F" w:rsidRDefault="001116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374A267" w14:textId="6CB3F7FA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20"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lastRenderedPageBreak/>
        <w:t xml:space="preserve">ВОПРОС </w:t>
      </w:r>
      <w:r w:rsidRPr="0011161F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  <w14:ligatures w14:val="none"/>
        </w:rPr>
        <w:t>9. Наталия Григорьевна Г.</w:t>
      </w:r>
    </w:p>
    <w:p w14:paraId="7C86F938" w14:textId="270A0CCB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kern w:val="0"/>
          <w:sz w:val="20"/>
          <w:szCs w:val="20"/>
          <w:lang w:eastAsia="ru-RU"/>
          <w14:ligatures w14:val="none"/>
        </w:rPr>
      </w:pPr>
    </w:p>
    <w:p w14:paraId="6113D533" w14:textId="4F3D328D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Между АНО и физическим лицом заключён договор </w:t>
      </w:r>
      <w:r w:rsidRPr="0011161F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ru-RU"/>
          <w14:ligatures w14:val="none"/>
        </w:rPr>
        <w:t>безвозмездного пользования помещением</w:t>
      </w: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(за аренду организация не платит).</w:t>
      </w:r>
    </w:p>
    <w:p w14:paraId="50E6E91B" w14:textId="78337D75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Организация применяет УСН (доходы минус расходы),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</w:t>
      </w: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ПБУ 18 не применяет.</w:t>
      </w:r>
    </w:p>
    <w:p w14:paraId="45899A02" w14:textId="6A60F1A1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Помещение было получено в пользование, для осуществления деятельности НКО в помещении требовался ремонт.</w:t>
      </w:r>
    </w:p>
    <w:p w14:paraId="4AE61977" w14:textId="2B3EB121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На ремонт был получен беспроцентный </w:t>
      </w:r>
      <w:proofErr w:type="spellStart"/>
      <w:r w:rsidR="006E5AF0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з</w:t>
      </w: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айм</w:t>
      </w:r>
      <w:proofErr w:type="spellEnd"/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у другой организации на 5 лет в размере 2 000 000 руб.</w:t>
      </w:r>
    </w:p>
    <w:p w14:paraId="786BC2CB" w14:textId="77777777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Деньги и купленные на них строительные материалы израсходованы на ремонт помещения.</w:t>
      </w:r>
    </w:p>
    <w:p w14:paraId="591CDA69" w14:textId="24229EB5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При составлении бухгалтерского баланса возник вопрос об отражении статей баланса актива.</w:t>
      </w:r>
    </w:p>
    <w:p w14:paraId="42F3C0F1" w14:textId="77777777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В Пассиве отражаем в статье долгосрочные займы – 2 000 000 руб.</w:t>
      </w:r>
    </w:p>
    <w:p w14:paraId="1C3DAC61" w14:textId="77777777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Как в Активе отразить 2 000 000 руб., чтобы баланс сошёлся? </w:t>
      </w:r>
    </w:p>
    <w:p w14:paraId="050ABC04" w14:textId="77777777" w:rsidR="0011161F" w:rsidRPr="0011161F" w:rsidRDefault="0011161F" w:rsidP="00111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20" w:line="240" w:lineRule="auto"/>
        <w:ind w:firstLine="567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  <w:proofErr w:type="spellStart"/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Займ</w:t>
      </w:r>
      <w:proofErr w:type="spellEnd"/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планируется отдавать </w:t>
      </w:r>
      <w:proofErr w:type="gramStart"/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>из денег</w:t>
      </w:r>
      <w:proofErr w:type="gramEnd"/>
      <w:r w:rsidRPr="0011161F">
        <w:rPr>
          <w:rFonts w:ascii="Arial" w:eastAsia="Times New Roman" w:hAnsi="Arial" w:cs="Arial"/>
          <w:color w:val="000000"/>
          <w:kern w:val="0"/>
          <w:sz w:val="20"/>
          <w:szCs w:val="20"/>
          <w:lang w:eastAsia="ru-RU"/>
          <w14:ligatures w14:val="none"/>
        </w:rPr>
        <w:t xml:space="preserve"> поступающих от приносящей доход деятельности, так как организация предоставляет образовательные услуги только на платной основе.</w:t>
      </w:r>
    </w:p>
    <w:p w14:paraId="51B1786E" w14:textId="77777777" w:rsidR="008F7835" w:rsidRDefault="008F7835" w:rsidP="0068322D">
      <w:pPr>
        <w:jc w:val="both"/>
        <w:rPr>
          <w:rFonts w:ascii="Arial" w:hAnsi="Arial" w:cs="Arial"/>
          <w:sz w:val="20"/>
          <w:szCs w:val="20"/>
        </w:rPr>
      </w:pPr>
    </w:p>
    <w:p w14:paraId="49D83498" w14:textId="61CB5CBC" w:rsidR="0011161F" w:rsidRDefault="0011161F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Д51 - К67 – получен заем</w:t>
      </w:r>
    </w:p>
    <w:p w14:paraId="5E8EE700" w14:textId="683FCC0F" w:rsidR="006E5AF0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60 – К 51 – оплата поставщику за строительные материалы</w:t>
      </w:r>
    </w:p>
    <w:p w14:paraId="5AF384E2" w14:textId="0384D490" w:rsidR="006E5AF0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10 – К 60 – получены строительные материалы</w:t>
      </w:r>
    </w:p>
    <w:p w14:paraId="0B7EC700" w14:textId="2E0DB1FE" w:rsidR="006E5AF0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 20 </w:t>
      </w:r>
      <w:r w:rsidR="00740EA2">
        <w:rPr>
          <w:rFonts w:ascii="Arial" w:hAnsi="Arial" w:cs="Arial"/>
          <w:sz w:val="20"/>
          <w:szCs w:val="20"/>
        </w:rPr>
        <w:t xml:space="preserve">(26) </w:t>
      </w:r>
      <w:r>
        <w:rPr>
          <w:rFonts w:ascii="Arial" w:hAnsi="Arial" w:cs="Arial"/>
          <w:sz w:val="20"/>
          <w:szCs w:val="20"/>
        </w:rPr>
        <w:t>– К 10 – строительные материалы использованы для ремонта помещения</w:t>
      </w:r>
    </w:p>
    <w:p w14:paraId="526083C7" w14:textId="1403BFF5" w:rsidR="006E5AF0" w:rsidRPr="00AD2B54" w:rsidRDefault="006E5AF0" w:rsidP="0068322D">
      <w:pPr>
        <w:jc w:val="both"/>
        <w:rPr>
          <w:rFonts w:ascii="Arial" w:hAnsi="Arial" w:cs="Arial"/>
          <w:sz w:val="20"/>
          <w:szCs w:val="20"/>
        </w:rPr>
      </w:pPr>
      <w:r w:rsidRPr="00AD2B54">
        <w:rPr>
          <w:rFonts w:ascii="Arial" w:hAnsi="Arial" w:cs="Arial"/>
          <w:sz w:val="20"/>
          <w:szCs w:val="20"/>
        </w:rPr>
        <w:t xml:space="preserve">Д </w:t>
      </w:r>
      <w:r w:rsidR="00B201C5" w:rsidRPr="00AD2B54">
        <w:rPr>
          <w:rFonts w:ascii="Arial" w:hAnsi="Arial" w:cs="Arial"/>
          <w:sz w:val="20"/>
          <w:szCs w:val="20"/>
        </w:rPr>
        <w:t xml:space="preserve">90 </w:t>
      </w:r>
      <w:r w:rsidRPr="00AD2B54">
        <w:rPr>
          <w:rFonts w:ascii="Arial" w:hAnsi="Arial" w:cs="Arial"/>
          <w:sz w:val="20"/>
          <w:szCs w:val="20"/>
        </w:rPr>
        <w:t xml:space="preserve">– К 20 </w:t>
      </w:r>
      <w:r w:rsidR="00740EA2" w:rsidRPr="00AD2B54">
        <w:rPr>
          <w:rFonts w:ascii="Arial" w:hAnsi="Arial" w:cs="Arial"/>
          <w:sz w:val="20"/>
          <w:szCs w:val="20"/>
        </w:rPr>
        <w:t>(26)</w:t>
      </w:r>
      <w:r w:rsidRPr="00AD2B54">
        <w:rPr>
          <w:rFonts w:ascii="Arial" w:hAnsi="Arial" w:cs="Arial"/>
          <w:sz w:val="20"/>
          <w:szCs w:val="20"/>
        </w:rPr>
        <w:t>– признаны расходы на ремонт</w:t>
      </w:r>
    </w:p>
    <w:p w14:paraId="7F40FA66" w14:textId="7176F60C" w:rsidR="006E5AF0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62 – К 90 – признана выручка от оказания услуг</w:t>
      </w:r>
    </w:p>
    <w:p w14:paraId="5181C8ED" w14:textId="08AD5BA9" w:rsidR="006E5AF0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51 – К 62 – поступление оплаты за оказанные услуги</w:t>
      </w:r>
    </w:p>
    <w:p w14:paraId="50CB9F8D" w14:textId="698D34FD" w:rsidR="006E5AF0" w:rsidRPr="0068322D" w:rsidRDefault="006E5AF0" w:rsidP="00683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 67 – К 51 – погашение займа</w:t>
      </w:r>
    </w:p>
    <w:sectPr w:rsidR="006E5AF0" w:rsidRPr="0068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6"/>
    <w:rsid w:val="000A162E"/>
    <w:rsid w:val="0011161F"/>
    <w:rsid w:val="00115814"/>
    <w:rsid w:val="00160B4D"/>
    <w:rsid w:val="00163D79"/>
    <w:rsid w:val="0033472E"/>
    <w:rsid w:val="003F2691"/>
    <w:rsid w:val="00431BC6"/>
    <w:rsid w:val="0045434A"/>
    <w:rsid w:val="004A6A62"/>
    <w:rsid w:val="004B4381"/>
    <w:rsid w:val="00626EE7"/>
    <w:rsid w:val="00681299"/>
    <w:rsid w:val="0068322D"/>
    <w:rsid w:val="006E5AF0"/>
    <w:rsid w:val="006F5A50"/>
    <w:rsid w:val="00722715"/>
    <w:rsid w:val="0074030B"/>
    <w:rsid w:val="00740EA2"/>
    <w:rsid w:val="0079010A"/>
    <w:rsid w:val="007F73DA"/>
    <w:rsid w:val="0086054B"/>
    <w:rsid w:val="008A4F09"/>
    <w:rsid w:val="008D207B"/>
    <w:rsid w:val="008F7835"/>
    <w:rsid w:val="009A7485"/>
    <w:rsid w:val="00AD2B54"/>
    <w:rsid w:val="00B13A6B"/>
    <w:rsid w:val="00B201C5"/>
    <w:rsid w:val="00B94F03"/>
    <w:rsid w:val="00BB774A"/>
    <w:rsid w:val="00C207A2"/>
    <w:rsid w:val="00EF7A2D"/>
    <w:rsid w:val="00F5724F"/>
    <w:rsid w:val="00F76D58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7115"/>
  <w15:chartTrackingRefBased/>
  <w15:docId w15:val="{0F4C6F29-A5DC-4933-A6EF-0189099A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11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7F73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7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mcenter.ru/Files/R_NKO_Perehod_na_movuy_poryadok_uchette_OS_v_N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0C8EB-93D9-487D-8822-E2194126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82</cp:revision>
  <dcterms:created xsi:type="dcterms:W3CDTF">2023-03-14T05:48:00Z</dcterms:created>
  <dcterms:modified xsi:type="dcterms:W3CDTF">2023-04-11T08:47:00Z</dcterms:modified>
</cp:coreProperties>
</file>