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64" w:rsidRPr="00363664" w:rsidRDefault="00363664" w:rsidP="00363664">
      <w:pPr>
        <w:spacing w:after="60" w:line="240" w:lineRule="auto"/>
        <w:jc w:val="center"/>
        <w:rPr>
          <w:rFonts w:ascii="Times New Roman" w:eastAsia="Times New Roman" w:hAnsi="Times New Roman" w:cs="Times New Roman"/>
          <w:sz w:val="24"/>
          <w:szCs w:val="24"/>
          <w:lang w:eastAsia="ru-RU"/>
        </w:rPr>
      </w:pPr>
      <w:r w:rsidRPr="00363664">
        <w:rPr>
          <w:rFonts w:ascii="Times New Roman" w:eastAsia="Times New Roman" w:hAnsi="Times New Roman" w:cs="Times New Roman"/>
          <w:b/>
          <w:bCs/>
          <w:color w:val="000000"/>
          <w:sz w:val="36"/>
          <w:szCs w:val="36"/>
          <w:lang w:eastAsia="ru-RU"/>
        </w:rPr>
        <w:t xml:space="preserve">Вопросы к </w:t>
      </w:r>
      <w:proofErr w:type="spellStart"/>
      <w:r w:rsidRPr="00363664">
        <w:rPr>
          <w:rFonts w:ascii="Times New Roman" w:eastAsia="Times New Roman" w:hAnsi="Times New Roman" w:cs="Times New Roman"/>
          <w:b/>
          <w:bCs/>
          <w:color w:val="000000"/>
          <w:sz w:val="36"/>
          <w:szCs w:val="36"/>
          <w:lang w:eastAsia="ru-RU"/>
        </w:rPr>
        <w:t>вебинару</w:t>
      </w:r>
      <w:proofErr w:type="spellEnd"/>
      <w:r w:rsidRPr="00363664">
        <w:rPr>
          <w:rFonts w:ascii="Times New Roman" w:eastAsia="Times New Roman" w:hAnsi="Times New Roman" w:cs="Times New Roman"/>
          <w:b/>
          <w:bCs/>
          <w:color w:val="000000"/>
          <w:sz w:val="36"/>
          <w:szCs w:val="36"/>
          <w:lang w:eastAsia="ru-RU"/>
        </w:rPr>
        <w:t xml:space="preserve"> 31 октября 2022 г. (понедельник)</w:t>
      </w:r>
    </w:p>
    <w:p w:rsidR="00363664" w:rsidRPr="00363664" w:rsidRDefault="00363664" w:rsidP="00363664">
      <w:pPr>
        <w:spacing w:after="0" w:line="240" w:lineRule="auto"/>
        <w:rPr>
          <w:rFonts w:ascii="Times New Roman" w:eastAsia="Times New Roman" w:hAnsi="Times New Roman" w:cs="Times New Roman"/>
          <w:sz w:val="24"/>
          <w:szCs w:val="24"/>
          <w:lang w:eastAsia="ru-RU"/>
        </w:rPr>
      </w:pPr>
    </w:p>
    <w:p w:rsidR="00363664" w:rsidRPr="00363664" w:rsidRDefault="00363664" w:rsidP="00363664">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000000"/>
          <w:kern w:val="36"/>
          <w:sz w:val="36"/>
          <w:szCs w:val="36"/>
          <w:lang w:eastAsia="ru-RU"/>
        </w:rPr>
        <w:t>1. Наталья Васильевна У.</w:t>
      </w:r>
    </w:p>
    <w:p w:rsidR="00363664" w:rsidRPr="00363664" w:rsidRDefault="00363664" w:rsidP="00363664">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FF0000"/>
          <w:kern w:val="36"/>
          <w:sz w:val="36"/>
          <w:szCs w:val="36"/>
          <w:shd w:val="clear" w:color="auto" w:fill="FFFFFF"/>
          <w:lang w:eastAsia="ru-RU"/>
        </w:rPr>
        <w:t>НЕВЕРОВ</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Вопрос №1.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 xml:space="preserve">Просим Вас </w:t>
      </w:r>
      <w:proofErr w:type="gramStart"/>
      <w:r w:rsidRPr="00363664">
        <w:rPr>
          <w:rFonts w:ascii="Times New Roman" w:eastAsia="Times New Roman" w:hAnsi="Times New Roman" w:cs="Times New Roman"/>
          <w:color w:val="0070C0"/>
          <w:sz w:val="36"/>
          <w:szCs w:val="36"/>
          <w:lang w:eastAsia="ru-RU"/>
        </w:rPr>
        <w:t>разъяснить правомерно ли требовать</w:t>
      </w:r>
      <w:proofErr w:type="gramEnd"/>
      <w:r w:rsidRPr="00363664">
        <w:rPr>
          <w:rFonts w:ascii="Times New Roman" w:eastAsia="Times New Roman" w:hAnsi="Times New Roman" w:cs="Times New Roman"/>
          <w:color w:val="0070C0"/>
          <w:sz w:val="36"/>
          <w:szCs w:val="36"/>
          <w:lang w:eastAsia="ru-RU"/>
        </w:rPr>
        <w:t xml:space="preserve"> от подотчетного лица кассовый чек для подтверждения оплаты расходов на проезд в командировку самолетом или ж/</w:t>
      </w:r>
      <w:proofErr w:type="spellStart"/>
      <w:r w:rsidRPr="00363664">
        <w:rPr>
          <w:rFonts w:ascii="Times New Roman" w:eastAsia="Times New Roman" w:hAnsi="Times New Roman" w:cs="Times New Roman"/>
          <w:color w:val="0070C0"/>
          <w:sz w:val="36"/>
          <w:szCs w:val="36"/>
          <w:lang w:eastAsia="ru-RU"/>
        </w:rPr>
        <w:t>д</w:t>
      </w:r>
      <w:proofErr w:type="spellEnd"/>
      <w:r w:rsidRPr="00363664">
        <w:rPr>
          <w:rFonts w:ascii="Times New Roman" w:eastAsia="Times New Roman" w:hAnsi="Times New Roman" w:cs="Times New Roman"/>
          <w:color w:val="0070C0"/>
          <w:sz w:val="36"/>
          <w:szCs w:val="36"/>
          <w:lang w:eastAsia="ru-RU"/>
        </w:rPr>
        <w:t xml:space="preserve"> транспортом.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 xml:space="preserve">Также </w:t>
      </w:r>
      <w:proofErr w:type="gramStart"/>
      <w:r w:rsidRPr="00363664">
        <w:rPr>
          <w:rFonts w:ascii="Times New Roman" w:eastAsia="Times New Roman" w:hAnsi="Times New Roman" w:cs="Times New Roman"/>
          <w:color w:val="0070C0"/>
          <w:sz w:val="36"/>
          <w:szCs w:val="36"/>
          <w:lang w:eastAsia="ru-RU"/>
        </w:rPr>
        <w:t>разъяснить правомерно ли требовать</w:t>
      </w:r>
      <w:proofErr w:type="gramEnd"/>
      <w:r w:rsidRPr="00363664">
        <w:rPr>
          <w:rFonts w:ascii="Times New Roman" w:eastAsia="Times New Roman" w:hAnsi="Times New Roman" w:cs="Times New Roman"/>
          <w:color w:val="0070C0"/>
          <w:sz w:val="36"/>
          <w:szCs w:val="36"/>
          <w:lang w:eastAsia="ru-RU"/>
        </w:rPr>
        <w:t xml:space="preserve"> от работников кассовый чек для подтверждения оплаты расходов на проезд в отпуск и обратно самолетом или ж/</w:t>
      </w:r>
      <w:proofErr w:type="spellStart"/>
      <w:r w:rsidRPr="00363664">
        <w:rPr>
          <w:rFonts w:ascii="Times New Roman" w:eastAsia="Times New Roman" w:hAnsi="Times New Roman" w:cs="Times New Roman"/>
          <w:color w:val="0070C0"/>
          <w:sz w:val="36"/>
          <w:szCs w:val="36"/>
          <w:lang w:eastAsia="ru-RU"/>
        </w:rPr>
        <w:t>д</w:t>
      </w:r>
      <w:proofErr w:type="spellEnd"/>
      <w:r w:rsidRPr="00363664">
        <w:rPr>
          <w:rFonts w:ascii="Times New Roman" w:eastAsia="Times New Roman" w:hAnsi="Times New Roman" w:cs="Times New Roman"/>
          <w:color w:val="0070C0"/>
          <w:sz w:val="36"/>
          <w:szCs w:val="36"/>
          <w:lang w:eastAsia="ru-RU"/>
        </w:rPr>
        <w:t xml:space="preserve"> транспортом (в районах Крайнего Севера).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Затраты некоммерческой организации, которые могут быть учтены в качестве расходов, произведенных в уставных целях, должны отвечать критериям, установленным в Налоговом кодексе РФ. Расходы должны быть экономически обоснованными и документально подтверждёнными (в соответствии со статьей 252 НК РФ). Под документально подтвержденными расходами понимаются затраты, подтвержденные документами, оформленными в соответствии с законодательством РФ. Расходы на командировки по НК РФ относятся к прочим расходам. Приказ о направлении сотрудника в командировку подтверждает производственный характер расходов. В числе командировочных расходов существенную часть составляют расходы на проезд к месту командировки и обратно. Подтвердить эти командировочные расходы могут проездные документы.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 xml:space="preserve">В гражданской авиации при покупке электронного пассажирского билета документом строгой отчетности является маршрут/квитанция электронного билета. Это бумажная выписка из автоматизированной информационной системы оформления воздушных </w:t>
      </w:r>
      <w:r w:rsidRPr="00363664">
        <w:rPr>
          <w:rFonts w:ascii="Times New Roman" w:eastAsia="Times New Roman" w:hAnsi="Times New Roman" w:cs="Times New Roman"/>
          <w:color w:val="0070C0"/>
          <w:sz w:val="36"/>
          <w:szCs w:val="36"/>
          <w:lang w:eastAsia="ru-RU"/>
        </w:rPr>
        <w:lastRenderedPageBreak/>
        <w:t>перевозок (п. 2 приказа Минтранса РФ от 08.11.2006 № 134, далее – Приказ № 134). В ней указана стоимость перелета. Также по общим правилам воздушных перевозок при регистрации на рейс пассажиру выдается посадочный талон, где указаны его инициалы и фамилия, номер рейса, дата отправления, время отправления, номер выхода на посадку и другая информация (п. 84 приказа Минтранса РФ от 28.06. 2007 № 82).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Федеральным законом от 22.05.2003 №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учёта выручки. Так при получении безналичной оплаты от физического лица, перевозчик (продавец) обязан выдать покупателю кассовый чек. При оформлении проездного документа авиаперевозчик (железнодорожный перевозчик, агент, зарегистрированный на территории РФ) высылают на электронную почту покупателя (физического лица) кассовый чек. </w:t>
      </w:r>
    </w:p>
    <w:p w:rsidR="00363664" w:rsidRPr="002C3B97" w:rsidRDefault="00363664" w:rsidP="00363664">
      <w:pPr>
        <w:spacing w:after="0" w:line="240" w:lineRule="auto"/>
        <w:ind w:firstLine="567"/>
        <w:jc w:val="both"/>
        <w:rPr>
          <w:rFonts w:ascii="Times New Roman" w:eastAsia="Times New Roman" w:hAnsi="Times New Roman" w:cs="Times New Roman"/>
          <w:color w:val="0070C0"/>
          <w:sz w:val="36"/>
          <w:szCs w:val="36"/>
          <w:lang w:eastAsia="ru-RU"/>
        </w:rPr>
      </w:pPr>
      <w:r w:rsidRPr="00363664">
        <w:rPr>
          <w:rFonts w:ascii="Times New Roman" w:eastAsia="Times New Roman" w:hAnsi="Times New Roman" w:cs="Times New Roman"/>
          <w:color w:val="0070C0"/>
          <w:sz w:val="36"/>
          <w:szCs w:val="36"/>
          <w:lang w:eastAsia="ru-RU"/>
        </w:rPr>
        <w:t xml:space="preserve">Т.е. кассовый чек стал таким же обязательным документом при расчетах, как и </w:t>
      </w:r>
      <w:proofErr w:type="gramStart"/>
      <w:r w:rsidRPr="00363664">
        <w:rPr>
          <w:rFonts w:ascii="Times New Roman" w:eastAsia="Times New Roman" w:hAnsi="Times New Roman" w:cs="Times New Roman"/>
          <w:color w:val="0070C0"/>
          <w:sz w:val="36"/>
          <w:szCs w:val="36"/>
          <w:lang w:eastAsia="ru-RU"/>
        </w:rPr>
        <w:t>маршрут</w:t>
      </w:r>
      <w:proofErr w:type="gramEnd"/>
      <w:r w:rsidRPr="00363664">
        <w:rPr>
          <w:rFonts w:ascii="Times New Roman" w:eastAsia="Times New Roman" w:hAnsi="Times New Roman" w:cs="Times New Roman"/>
          <w:color w:val="0070C0"/>
          <w:sz w:val="36"/>
          <w:szCs w:val="36"/>
          <w:lang w:eastAsia="ru-RU"/>
        </w:rPr>
        <w:t>/квитанция электронного билета или контрольный купон при проезде на ж/</w:t>
      </w:r>
      <w:proofErr w:type="spellStart"/>
      <w:r w:rsidRPr="00363664">
        <w:rPr>
          <w:rFonts w:ascii="Times New Roman" w:eastAsia="Times New Roman" w:hAnsi="Times New Roman" w:cs="Times New Roman"/>
          <w:color w:val="0070C0"/>
          <w:sz w:val="36"/>
          <w:szCs w:val="36"/>
          <w:lang w:eastAsia="ru-RU"/>
        </w:rPr>
        <w:t>д</w:t>
      </w:r>
      <w:proofErr w:type="spellEnd"/>
      <w:r w:rsidRPr="00363664">
        <w:rPr>
          <w:rFonts w:ascii="Times New Roman" w:eastAsia="Times New Roman" w:hAnsi="Times New Roman" w:cs="Times New Roman"/>
          <w:color w:val="0070C0"/>
          <w:sz w:val="36"/>
          <w:szCs w:val="36"/>
          <w:lang w:eastAsia="ru-RU"/>
        </w:rPr>
        <w:t xml:space="preserve"> транспорте, а также подтверждает сумму оплаты, указанную в маршрут/квитанции электронного билета или контрольном купоне. </w:t>
      </w:r>
    </w:p>
    <w:p w:rsidR="00363664" w:rsidRDefault="00363664" w:rsidP="00363664">
      <w:pPr>
        <w:spacing w:after="0" w:line="240" w:lineRule="auto"/>
        <w:ind w:firstLine="567"/>
        <w:jc w:val="both"/>
        <w:rPr>
          <w:rFonts w:ascii="Times New Roman" w:eastAsia="Times New Roman" w:hAnsi="Times New Roman" w:cs="Times New Roman"/>
          <w:color w:val="000000"/>
          <w:sz w:val="36"/>
          <w:szCs w:val="36"/>
          <w:lang w:eastAsia="ru-RU"/>
        </w:rPr>
      </w:pPr>
    </w:p>
    <w:p w:rsidR="00587864" w:rsidRDefault="00587864" w:rsidP="00587864">
      <w:proofErr w:type="gramStart"/>
      <w:r>
        <w:t>Во</w:t>
      </w:r>
      <w:proofErr w:type="gramEnd"/>
      <w:r>
        <w:t xml:space="preserve"> случае если бланк билета (в том числе электронного) не является бланком строгой отчетности, сформированным с использованием ККТ и содержащим все реквизиты, предусмотренные </w:t>
      </w:r>
      <w:hyperlink r:id="rId5" w:history="1">
        <w:r>
          <w:rPr>
            <w:rStyle w:val="a8"/>
          </w:rPr>
          <w:t>ст. 4.7</w:t>
        </w:r>
      </w:hyperlink>
      <w:r>
        <w:t xml:space="preserve"> Закона N 54-ФЗ, для подтверждения факта его оплаты наличие кассового чека является обязательным.</w:t>
      </w:r>
    </w:p>
    <w:p w:rsidR="00587864" w:rsidRDefault="00587864" w:rsidP="00587864"/>
    <w:p w:rsidR="00587864" w:rsidRDefault="00587864" w:rsidP="00587864">
      <w:r>
        <w:rPr>
          <w:rStyle w:val="a7"/>
        </w:rPr>
        <w:lastRenderedPageBreak/>
        <w:t>Обоснование вывода:</w:t>
      </w:r>
    </w:p>
    <w:p w:rsidR="00587864" w:rsidRDefault="00587864" w:rsidP="00587864">
      <w:r>
        <w:t xml:space="preserve">В соответствии с </w:t>
      </w:r>
      <w:hyperlink r:id="rId6" w:history="1">
        <w:r>
          <w:rPr>
            <w:rStyle w:val="a8"/>
          </w:rPr>
          <w:t>п. 216</w:t>
        </w:r>
      </w:hyperlink>
      <w:r>
        <w:t xml:space="preserve"> Инструкции N 157н сумма произведенных подотчетным лицом расходов отражается в учете на основании:</w:t>
      </w:r>
    </w:p>
    <w:p w:rsidR="00587864" w:rsidRDefault="00587864" w:rsidP="00587864">
      <w:r>
        <w:t>- Авансового отчета (</w:t>
      </w:r>
      <w:hyperlink r:id="rId7" w:history="1">
        <w:r>
          <w:rPr>
            <w:rStyle w:val="a8"/>
          </w:rPr>
          <w:t>ф. 0504505</w:t>
        </w:r>
      </w:hyperlink>
      <w:r>
        <w:t>), утвержденного в установленном порядке;</w:t>
      </w:r>
    </w:p>
    <w:p w:rsidR="00587864" w:rsidRDefault="00587864" w:rsidP="00587864">
      <w:r>
        <w:t>- прилагаемых к отчету документов, подтверждающих произведенные расходы.</w:t>
      </w:r>
    </w:p>
    <w:p w:rsidR="00587864" w:rsidRDefault="00587864" w:rsidP="00587864">
      <w:r>
        <w:t>Документы, прилагаемые подотчетными лицами к Авансовым отчетам (</w:t>
      </w:r>
      <w:hyperlink r:id="rId8" w:history="1">
        <w:r>
          <w:rPr>
            <w:rStyle w:val="a8"/>
          </w:rPr>
          <w:t>ф. 0504505</w:t>
        </w:r>
      </w:hyperlink>
      <w:r>
        <w:t>), должны подтверждать:</w:t>
      </w:r>
    </w:p>
    <w:p w:rsidR="00587864" w:rsidRDefault="00587864" w:rsidP="00587864">
      <w:r>
        <w:t>1) получение конкретного имущества, оказание (выполнение) определенных услуг (работ);</w:t>
      </w:r>
    </w:p>
    <w:p w:rsidR="00587864" w:rsidRDefault="00587864" w:rsidP="00587864">
      <w:r>
        <w:t>2) факт оплаты стоимости имущества (услуг, работ).</w:t>
      </w:r>
    </w:p>
    <w:p w:rsidR="00587864" w:rsidRDefault="00587864" w:rsidP="00587864">
      <w:r>
        <w:t>По общему правилу факт оплаты товаров (работ, услуг) наличными денежными средствами и (или) с использованием платежных карт должен подтверждаться предоставляемыми подотчетными лицами чеками контрольно-кассовой техники (</w:t>
      </w:r>
      <w:hyperlink r:id="rId9" w:history="1">
        <w:r>
          <w:rPr>
            <w:rStyle w:val="a8"/>
          </w:rPr>
          <w:t>п. 2 ст. 1.2</w:t>
        </w:r>
      </w:hyperlink>
      <w:r>
        <w:t xml:space="preserve">, </w:t>
      </w:r>
      <w:hyperlink r:id="rId10" w:history="1">
        <w:r>
          <w:rPr>
            <w:rStyle w:val="a8"/>
          </w:rPr>
          <w:t>п. 2 ст. 5</w:t>
        </w:r>
      </w:hyperlink>
      <w:r>
        <w:t xml:space="preserve"> Закона N 54-ФЗ).</w:t>
      </w:r>
    </w:p>
    <w:p w:rsidR="00587864" w:rsidRDefault="00587864" w:rsidP="00587864">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 (</w:t>
      </w:r>
      <w:hyperlink r:id="rId11" w:history="1">
        <w:r>
          <w:rPr>
            <w:rStyle w:val="a8"/>
          </w:rPr>
          <w:t>ст. 1.1</w:t>
        </w:r>
      </w:hyperlink>
      <w:r>
        <w:t xml:space="preserve"> Закона N 54-ФЗ).</w:t>
      </w:r>
      <w:proofErr w:type="gramEnd"/>
    </w:p>
    <w:p w:rsidR="00587864" w:rsidRDefault="00587864" w:rsidP="00587864">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 (</w:t>
      </w:r>
      <w:hyperlink r:id="rId12" w:history="1">
        <w:r>
          <w:rPr>
            <w:rStyle w:val="a8"/>
          </w:rPr>
          <w:t>п</w:t>
        </w:r>
        <w:proofErr w:type="gramEnd"/>
        <w:r>
          <w:rPr>
            <w:rStyle w:val="a8"/>
          </w:rPr>
          <w:t>. </w:t>
        </w:r>
        <w:proofErr w:type="gramStart"/>
        <w:r>
          <w:rPr>
            <w:rStyle w:val="a8"/>
          </w:rPr>
          <w:t>4 ст. 1.2</w:t>
        </w:r>
      </w:hyperlink>
      <w:r>
        <w:t xml:space="preserve"> Закона N 54-ФЗ).</w:t>
      </w:r>
      <w:proofErr w:type="gramEnd"/>
    </w:p>
    <w:p w:rsidR="00587864" w:rsidRDefault="00587864" w:rsidP="00587864">
      <w:r>
        <w:t xml:space="preserve">С 01.07.2019 бланки строгой отчетности, выдаваемые организациями и индивидуальными предпринимателями, не подпадающими под действие </w:t>
      </w:r>
      <w:hyperlink r:id="rId13" w:history="1">
        <w:r>
          <w:rPr>
            <w:rStyle w:val="a8"/>
          </w:rPr>
          <w:t>п. 1 ст. 2</w:t>
        </w:r>
      </w:hyperlink>
      <w:r>
        <w:t xml:space="preserve"> Федерального закона от 06.06.2019 N 129-ФЗ, должны быть сформированы с применением контрольно-кассовой техники.</w:t>
      </w:r>
    </w:p>
    <w:p w:rsidR="00587864" w:rsidRDefault="00587864" w:rsidP="00587864">
      <w:r>
        <w:t>К обязательным реквизитам бланков строгой отчетности предъявляются те же требования, что и к реквизитам кассовых чеков (</w:t>
      </w:r>
      <w:hyperlink r:id="rId14" w:history="1">
        <w:r>
          <w:rPr>
            <w:rStyle w:val="a8"/>
          </w:rPr>
          <w:t>ст. 4.7</w:t>
        </w:r>
      </w:hyperlink>
      <w:r>
        <w:t xml:space="preserve"> Закона N 54-ФЗ).</w:t>
      </w:r>
    </w:p>
    <w:p w:rsidR="00587864" w:rsidRPr="00C261F3" w:rsidRDefault="00587864" w:rsidP="00587864">
      <w:pPr>
        <w:rPr>
          <w:highlight w:val="yellow"/>
        </w:rPr>
      </w:pPr>
      <w:r w:rsidRPr="00C261F3">
        <w:rPr>
          <w:highlight w:val="yellow"/>
        </w:rPr>
        <w:t xml:space="preserve">В </w:t>
      </w:r>
      <w:hyperlink r:id="rId15" w:history="1">
        <w:r w:rsidRPr="00C261F3">
          <w:rPr>
            <w:rStyle w:val="a8"/>
            <w:highlight w:val="yellow"/>
          </w:rPr>
          <w:t>п. 2</w:t>
        </w:r>
      </w:hyperlink>
      <w:r w:rsidRPr="00C261F3">
        <w:rPr>
          <w:highlight w:val="yellow"/>
        </w:rPr>
        <w:t xml:space="preserve"> приказа Минтранса России от 08.11.2006 N 134 и </w:t>
      </w:r>
      <w:hyperlink r:id="rId16" w:history="1">
        <w:r w:rsidRPr="00C261F3">
          <w:rPr>
            <w:rStyle w:val="a8"/>
            <w:highlight w:val="yellow"/>
          </w:rPr>
          <w:t>п. 2</w:t>
        </w:r>
      </w:hyperlink>
      <w:r w:rsidRPr="00C261F3">
        <w:rPr>
          <w:highlight w:val="yellow"/>
        </w:rPr>
        <w:t xml:space="preserve"> приказа Минтранса РФ от 21.08.2012 N 322 указано, что маршрут-квитанция и контрольный купон являются бланками строгой отчетности. Формы этих документов утверждены Минтрансом России в соответствии с </w:t>
      </w:r>
      <w:hyperlink r:id="rId17" w:history="1">
        <w:r w:rsidRPr="00C261F3">
          <w:rPr>
            <w:rStyle w:val="a8"/>
            <w:highlight w:val="yellow"/>
          </w:rPr>
          <w:t>п. 5</w:t>
        </w:r>
      </w:hyperlink>
      <w:r w:rsidRPr="00C261F3">
        <w:rPr>
          <w:highlight w:val="yellow"/>
        </w:rPr>
        <w:t xml:space="preserve"> Положения, утвержденного </w:t>
      </w:r>
      <w:hyperlink r:id="rId18" w:history="1">
        <w:r w:rsidRPr="00C261F3">
          <w:rPr>
            <w:rStyle w:val="a8"/>
            <w:highlight w:val="yellow"/>
          </w:rPr>
          <w:t>постановлением</w:t>
        </w:r>
      </w:hyperlink>
      <w:r w:rsidRPr="00C261F3">
        <w:rPr>
          <w:highlight w:val="yellow"/>
        </w:rPr>
        <w:t xml:space="preserve"> Правительства РФ от 06.05.2008 N 359.</w:t>
      </w:r>
    </w:p>
    <w:p w:rsidR="00587864" w:rsidRDefault="00587864" w:rsidP="00587864">
      <w:r w:rsidRPr="00C261F3">
        <w:rPr>
          <w:highlight w:val="yellow"/>
        </w:rPr>
        <w:t xml:space="preserve">Соответственно, в настоящий момент к оплате без кассового чека можно принять только электронные билеты, которые сформированы с применением контрольно-кассовой техники и содержат все реквизиты, предусмотренные положениями </w:t>
      </w:r>
      <w:hyperlink r:id="rId19" w:history="1">
        <w:r w:rsidRPr="00C261F3">
          <w:rPr>
            <w:rStyle w:val="a8"/>
            <w:highlight w:val="yellow"/>
          </w:rPr>
          <w:t>ст. 4.7</w:t>
        </w:r>
      </w:hyperlink>
      <w:r w:rsidRPr="00C261F3">
        <w:rPr>
          <w:highlight w:val="yellow"/>
        </w:rPr>
        <w:t xml:space="preserve"> Закона N 54-ФЗ.</w:t>
      </w:r>
    </w:p>
    <w:p w:rsidR="00587864" w:rsidRDefault="00587864" w:rsidP="00587864">
      <w:proofErr w:type="gramStart"/>
      <w:r>
        <w:t xml:space="preserve">Так же следует отметить, что если электронный билет формируется автоматизированной системой, которая не передает данные оператору фискальных данных (без применения </w:t>
      </w:r>
      <w:r>
        <w:lastRenderedPageBreak/>
        <w:t>контрольно-кассовой техники), то перевозчик может направить кассовый чек или бланк строгой отчетности, сформированный с применением контрольно-кассовой техники, непосредственно покупателю либо по электронной почте, либо на сотовый телефон, указанные при регистрации для покупки электронных билетов.</w:t>
      </w:r>
      <w:proofErr w:type="gramEnd"/>
      <w:r>
        <w:t xml:space="preserve"> Таким образом, подотчетное лицо может распечатать кассовый чек или бланк строгой отчетности, подтверждающие факт оплаты отдельно от электронного билета.</w:t>
      </w:r>
    </w:p>
    <w:p w:rsidR="00587864" w:rsidRPr="00E70CB4" w:rsidRDefault="00587864" w:rsidP="00587864">
      <w:r>
        <w:t xml:space="preserve">При предъявлении для оплаты подотчетным лицом электронного билета без кассового чека следует убедиться, что данный электронный документ содержит все необходимые реквизиты согласно </w:t>
      </w:r>
      <w:hyperlink r:id="rId20" w:history="1">
        <w:r>
          <w:rPr>
            <w:rStyle w:val="a8"/>
          </w:rPr>
          <w:t>ст. 4.7</w:t>
        </w:r>
      </w:hyperlink>
      <w:r>
        <w:t xml:space="preserve"> Закона N 54-ФЗ, а также сформирован с применением контрольно-кассовой техники. Так, в частности, должен быть указан QR-код (двухмерный штриховой код), содержащий в кодированном виде реквизиты проверки кассового чека или бланка строгой отчетности. В случае сомнений в их достоверности можно проверить с помощью специальных сервисов, скачать которые можно на </w:t>
      </w:r>
      <w:hyperlink r:id="rId21" w:history="1">
        <w:r>
          <w:rPr>
            <w:rStyle w:val="a8"/>
          </w:rPr>
          <w:t>сайте</w:t>
        </w:r>
      </w:hyperlink>
      <w:r>
        <w:t xml:space="preserve"> ФНС России.</w:t>
      </w:r>
    </w:p>
    <w:p w:rsidR="00587864" w:rsidRPr="00E70CB4" w:rsidRDefault="00587864" w:rsidP="00587864">
      <w:pPr>
        <w:rPr>
          <w:rFonts w:ascii="Times New Roman" w:hAnsi="Times New Roman" w:cs="Times New Roman"/>
          <w:sz w:val="28"/>
          <w:szCs w:val="28"/>
        </w:rPr>
      </w:pPr>
    </w:p>
    <w:p w:rsidR="008872E9" w:rsidRPr="008872E9" w:rsidRDefault="008872E9" w:rsidP="008872E9">
      <w:pPr>
        <w:spacing w:after="0" w:line="240" w:lineRule="auto"/>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shd w:val="clear" w:color="auto" w:fill="FFFFFF"/>
          <w:lang w:eastAsia="ru-RU"/>
        </w:rPr>
        <w:t>Кассовый чек и бланк строгой отчетности должны содержать, за исключением случаев, установленных законом, следующие обязательные реквизиты:</w:t>
      </w:r>
      <w:r w:rsidRPr="008872E9">
        <w:rPr>
          <w:rFonts w:ascii="Times New Roman" w:eastAsia="Times New Roman" w:hAnsi="Times New Roman" w:cs="Times New Roman"/>
          <w:sz w:val="24"/>
          <w:szCs w:val="24"/>
          <w:lang w:eastAsia="ru-RU"/>
        </w:rPr>
        <w:br/>
      </w:r>
      <w:r w:rsidRPr="008872E9">
        <w:rPr>
          <w:rFonts w:ascii="Times New Roman" w:eastAsia="Times New Roman" w:hAnsi="Times New Roman" w:cs="Times New Roman"/>
          <w:sz w:val="24"/>
          <w:szCs w:val="24"/>
          <w:lang w:eastAsia="ru-RU"/>
        </w:rPr>
        <w:br/>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порядковый номер за смену;</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дата, время и место (адрес) осуществления расчета; </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наименование организации или фамилия, имя, отчество индивидуального предпринимателя;</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идентификационный номер налогоплательщика;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применяемая при расчете система налогообложения;</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признак расчета (получение средств от покупателя - приход, возврат покупателю средств, полученных от него, - возврат прихода, выдача средств покупателю - расход, получение средств от покупателя</w:t>
      </w:r>
      <w:proofErr w:type="gramStart"/>
      <w:r w:rsidRPr="008872E9">
        <w:rPr>
          <w:rFonts w:ascii="Times New Roman" w:eastAsia="Times New Roman" w:hAnsi="Times New Roman" w:cs="Times New Roman"/>
          <w:sz w:val="24"/>
          <w:szCs w:val="24"/>
          <w:lang w:eastAsia="ru-RU"/>
        </w:rPr>
        <w:t xml:space="preserve"> ,</w:t>
      </w:r>
      <w:proofErr w:type="gramEnd"/>
      <w:r w:rsidRPr="008872E9">
        <w:rPr>
          <w:rFonts w:ascii="Times New Roman" w:eastAsia="Times New Roman" w:hAnsi="Times New Roman" w:cs="Times New Roman"/>
          <w:sz w:val="24"/>
          <w:szCs w:val="24"/>
          <w:lang w:eastAsia="ru-RU"/>
        </w:rPr>
        <w:t xml:space="preserve"> выданных ему, - возврат расхода;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сумма расчета с отдельным указанием ставок и сумм налога на добавленную стоимость по этим ставкам;</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регистрационный номер контрольно-кассовой техники;</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заводской номер экземпляра модели фискального накопителя;</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фискальный признак документа;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lastRenderedPageBreak/>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порядковый номер фискального документа;</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номер смены;</w:t>
      </w:r>
    </w:p>
    <w:p w:rsidR="008872E9" w:rsidRPr="008872E9" w:rsidRDefault="008872E9" w:rsidP="008872E9">
      <w:pPr>
        <w:numPr>
          <w:ilvl w:val="0"/>
          <w:numId w:val="2"/>
        </w:numPr>
        <w:shd w:val="clear" w:color="auto" w:fill="FFFFFF"/>
        <w:spacing w:after="95" w:line="240" w:lineRule="auto"/>
        <w:ind w:left="0"/>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фискальный признак сообщения.</w:t>
      </w:r>
      <w:r w:rsidRPr="008872E9">
        <w:rPr>
          <w:rFonts w:ascii="Times New Roman" w:eastAsia="Times New Roman" w:hAnsi="Times New Roman" w:cs="Times New Roman"/>
          <w:sz w:val="24"/>
          <w:szCs w:val="24"/>
          <w:lang w:eastAsia="ru-RU"/>
        </w:rPr>
        <w:br/>
      </w:r>
    </w:p>
    <w:tbl>
      <w:tblPr>
        <w:tblW w:w="5433" w:type="dxa"/>
        <w:shd w:val="clear" w:color="auto" w:fill="FFFFFF"/>
        <w:tblCellMar>
          <w:left w:w="0" w:type="dxa"/>
          <w:right w:w="0" w:type="dxa"/>
        </w:tblCellMar>
        <w:tblLook w:val="04A0"/>
      </w:tblPr>
      <w:tblGrid>
        <w:gridCol w:w="2889"/>
        <w:gridCol w:w="2544"/>
      </w:tblGrid>
      <w:tr w:rsidR="008872E9" w:rsidRPr="008872E9" w:rsidTr="008872E9">
        <w:tc>
          <w:tcPr>
            <w:tcW w:w="4785" w:type="dxa"/>
            <w:tcBorders>
              <w:top w:val="single" w:sz="2" w:space="0" w:color="D8D8D8"/>
              <w:left w:val="single" w:sz="2" w:space="0" w:color="D8D8D8"/>
              <w:bottom w:val="single" w:sz="2" w:space="0" w:color="D8D8D8"/>
              <w:right w:val="single" w:sz="2" w:space="0" w:color="D8D8D8"/>
            </w:tcBorders>
            <w:shd w:val="clear" w:color="auto" w:fill="FFFFFF"/>
            <w:tcMar>
              <w:top w:w="13" w:type="dxa"/>
              <w:left w:w="44" w:type="dxa"/>
              <w:bottom w:w="13" w:type="dxa"/>
              <w:right w:w="44" w:type="dxa"/>
            </w:tcMar>
            <w:vAlign w:val="center"/>
            <w:hideMark/>
          </w:tcPr>
          <w:p w:rsidR="008872E9" w:rsidRPr="008872E9" w:rsidRDefault="008872E9" w:rsidP="008872E9">
            <w:pPr>
              <w:spacing w:after="0"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При покупке бумажного ж/</w:t>
            </w:r>
            <w:proofErr w:type="spellStart"/>
            <w:r w:rsidRPr="008872E9">
              <w:rPr>
                <w:rFonts w:ascii="Times New Roman" w:eastAsia="Times New Roman" w:hAnsi="Times New Roman" w:cs="Times New Roman"/>
                <w:sz w:val="24"/>
                <w:szCs w:val="24"/>
                <w:lang w:eastAsia="ru-RU"/>
              </w:rPr>
              <w:t>д</w:t>
            </w:r>
            <w:proofErr w:type="spellEnd"/>
            <w:r w:rsidRPr="008872E9">
              <w:rPr>
                <w:rFonts w:ascii="Times New Roman" w:eastAsia="Times New Roman" w:hAnsi="Times New Roman" w:cs="Times New Roman"/>
                <w:sz w:val="24"/>
                <w:szCs w:val="24"/>
                <w:lang w:eastAsia="ru-RU"/>
              </w:rPr>
              <w:t xml:space="preserve"> билета (допустим один из вариантов):</w:t>
            </w:r>
          </w:p>
        </w:tc>
        <w:tc>
          <w:tcPr>
            <w:tcW w:w="4786" w:type="dxa"/>
            <w:tcBorders>
              <w:top w:val="single" w:sz="2" w:space="0" w:color="D8D8D8"/>
              <w:left w:val="single" w:sz="2" w:space="0" w:color="D8D8D8"/>
              <w:bottom w:val="single" w:sz="2" w:space="0" w:color="D8D8D8"/>
              <w:right w:val="single" w:sz="2" w:space="0" w:color="D8D8D8"/>
            </w:tcBorders>
            <w:shd w:val="clear" w:color="auto" w:fill="FFFFFF"/>
            <w:tcMar>
              <w:top w:w="13" w:type="dxa"/>
              <w:left w:w="44" w:type="dxa"/>
              <w:bottom w:w="13" w:type="dxa"/>
              <w:right w:w="44" w:type="dxa"/>
            </w:tcMar>
            <w:vAlign w:val="center"/>
            <w:hideMark/>
          </w:tcPr>
          <w:p w:rsidR="008872E9" w:rsidRPr="008872E9" w:rsidRDefault="008872E9" w:rsidP="008872E9">
            <w:pPr>
              <w:spacing w:after="0"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При покупке электронного билета:</w:t>
            </w:r>
          </w:p>
        </w:tc>
      </w:tr>
      <w:tr w:rsidR="008872E9" w:rsidRPr="008872E9" w:rsidTr="008872E9">
        <w:tc>
          <w:tcPr>
            <w:tcW w:w="4785" w:type="dxa"/>
            <w:tcBorders>
              <w:top w:val="single" w:sz="2" w:space="0" w:color="D8D8D8"/>
              <w:left w:val="single" w:sz="2" w:space="0" w:color="D8D8D8"/>
              <w:bottom w:val="single" w:sz="2" w:space="0" w:color="D8D8D8"/>
              <w:right w:val="single" w:sz="2" w:space="0" w:color="D8D8D8"/>
            </w:tcBorders>
            <w:shd w:val="clear" w:color="auto" w:fill="FFFFFF"/>
            <w:tcMar>
              <w:top w:w="13" w:type="dxa"/>
              <w:left w:w="44" w:type="dxa"/>
              <w:bottom w:w="13" w:type="dxa"/>
              <w:right w:w="44" w:type="dxa"/>
            </w:tcMar>
            <w:vAlign w:val="center"/>
            <w:hideMark/>
          </w:tcPr>
          <w:p w:rsidR="008872E9" w:rsidRPr="008872E9" w:rsidRDefault="008872E9" w:rsidP="008872E9">
            <w:pPr>
              <w:spacing w:after="126"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Либо железнодорожный билет с напечатанными на нем реквизитами кассового чека, либо QR-кодом. В этом случае кассовый чек не обязателен;</w:t>
            </w:r>
          </w:p>
          <w:p w:rsidR="008872E9" w:rsidRPr="008872E9" w:rsidRDefault="008872E9" w:rsidP="008872E9">
            <w:pPr>
              <w:spacing w:after="0"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Либо железнодорожный билет и кассовый чек, если на билете нет реквизитов чека или QR-кода.</w:t>
            </w:r>
          </w:p>
        </w:tc>
        <w:tc>
          <w:tcPr>
            <w:tcW w:w="4786" w:type="dxa"/>
            <w:tcBorders>
              <w:top w:val="single" w:sz="2" w:space="0" w:color="D8D8D8"/>
              <w:left w:val="single" w:sz="2" w:space="0" w:color="D8D8D8"/>
              <w:bottom w:val="single" w:sz="2" w:space="0" w:color="D8D8D8"/>
              <w:right w:val="single" w:sz="2" w:space="0" w:color="D8D8D8"/>
            </w:tcBorders>
            <w:shd w:val="clear" w:color="auto" w:fill="FFFFFF"/>
            <w:tcMar>
              <w:top w:w="13" w:type="dxa"/>
              <w:left w:w="44" w:type="dxa"/>
              <w:bottom w:w="13" w:type="dxa"/>
              <w:right w:w="44" w:type="dxa"/>
            </w:tcMar>
            <w:vAlign w:val="center"/>
            <w:hideMark/>
          </w:tcPr>
          <w:p w:rsidR="008872E9" w:rsidRPr="008872E9" w:rsidRDefault="008872E9" w:rsidP="008872E9">
            <w:pPr>
              <w:spacing w:after="126"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Контрольный купон электронного проездного документа с реквизитами чека или QR-кодом;</w:t>
            </w:r>
          </w:p>
          <w:p w:rsidR="008872E9" w:rsidRPr="008872E9" w:rsidRDefault="008872E9" w:rsidP="008872E9">
            <w:pPr>
              <w:spacing w:after="0" w:line="152" w:lineRule="atLeast"/>
              <w:textAlignment w:val="baseline"/>
              <w:rPr>
                <w:rFonts w:ascii="Times New Roman" w:eastAsia="Times New Roman" w:hAnsi="Times New Roman" w:cs="Times New Roman"/>
                <w:sz w:val="24"/>
                <w:szCs w:val="24"/>
                <w:lang w:eastAsia="ru-RU"/>
              </w:rPr>
            </w:pPr>
            <w:r w:rsidRPr="008872E9">
              <w:rPr>
                <w:rFonts w:ascii="Times New Roman" w:eastAsia="Times New Roman" w:hAnsi="Times New Roman" w:cs="Times New Roman"/>
                <w:sz w:val="24"/>
                <w:szCs w:val="24"/>
                <w:lang w:eastAsia="ru-RU"/>
              </w:rPr>
              <w:t>Контрольный купон электронного проездного документа и кассовый чек, если на документе нет реквизитов чека или  QR-кода.</w:t>
            </w:r>
          </w:p>
        </w:tc>
      </w:tr>
    </w:tbl>
    <w:p w:rsidR="00587864" w:rsidRPr="00587864" w:rsidRDefault="00587864" w:rsidP="00587864"/>
    <w:p w:rsidR="00587864" w:rsidRPr="00587864" w:rsidRDefault="00587864" w:rsidP="00587864"/>
    <w:p w:rsidR="00587864" w:rsidRPr="00587864" w:rsidRDefault="00587864" w:rsidP="00587864"/>
    <w:p w:rsidR="00363664" w:rsidRPr="00363664" w:rsidRDefault="00363664" w:rsidP="00363664">
      <w:pPr>
        <w:spacing w:after="0" w:line="240" w:lineRule="auto"/>
        <w:rPr>
          <w:rFonts w:ascii="Times New Roman" w:eastAsia="Times New Roman" w:hAnsi="Times New Roman" w:cs="Times New Roman"/>
          <w:sz w:val="24"/>
          <w:szCs w:val="24"/>
          <w:lang w:eastAsia="ru-RU"/>
        </w:rPr>
      </w:pP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Вопрос №2. </w:t>
      </w:r>
    </w:p>
    <w:p w:rsidR="00363664" w:rsidRPr="002C3B97" w:rsidRDefault="00363664" w:rsidP="00363664">
      <w:pPr>
        <w:spacing w:after="0" w:line="240" w:lineRule="auto"/>
        <w:ind w:firstLine="567"/>
        <w:jc w:val="both"/>
        <w:rPr>
          <w:rFonts w:ascii="Times New Roman" w:eastAsia="Times New Roman" w:hAnsi="Times New Roman" w:cs="Times New Roman"/>
          <w:color w:val="0070C0"/>
          <w:sz w:val="36"/>
          <w:szCs w:val="36"/>
          <w:lang w:val="en-US" w:eastAsia="ru-RU"/>
        </w:rPr>
      </w:pPr>
      <w:r w:rsidRPr="00363664">
        <w:rPr>
          <w:rFonts w:ascii="Times New Roman" w:eastAsia="Times New Roman" w:hAnsi="Times New Roman" w:cs="Times New Roman"/>
          <w:color w:val="0070C0"/>
          <w:sz w:val="36"/>
          <w:szCs w:val="36"/>
          <w:lang w:eastAsia="ru-RU"/>
        </w:rPr>
        <w:t xml:space="preserve">Просим Вас разъяснить достаточно ли для подтверждения расходов на </w:t>
      </w:r>
      <w:proofErr w:type="spellStart"/>
      <w:r w:rsidRPr="00363664">
        <w:rPr>
          <w:rFonts w:ascii="Times New Roman" w:eastAsia="Times New Roman" w:hAnsi="Times New Roman" w:cs="Times New Roman"/>
          <w:color w:val="0070C0"/>
          <w:sz w:val="36"/>
          <w:szCs w:val="36"/>
          <w:lang w:eastAsia="ru-RU"/>
        </w:rPr>
        <w:t>трансфер</w:t>
      </w:r>
      <w:proofErr w:type="spellEnd"/>
      <w:r w:rsidRPr="00363664">
        <w:rPr>
          <w:rFonts w:ascii="Times New Roman" w:eastAsia="Times New Roman" w:hAnsi="Times New Roman" w:cs="Times New Roman"/>
          <w:color w:val="0070C0"/>
          <w:sz w:val="36"/>
          <w:szCs w:val="36"/>
          <w:lang w:eastAsia="ru-RU"/>
        </w:rPr>
        <w:t xml:space="preserve"> (такси) до аэропорта во время командировки только кассового чека, оформленного через мобильное приложение «</w:t>
      </w:r>
      <w:proofErr w:type="spellStart"/>
      <w:r w:rsidRPr="00363664">
        <w:rPr>
          <w:rFonts w:ascii="Times New Roman" w:eastAsia="Times New Roman" w:hAnsi="Times New Roman" w:cs="Times New Roman"/>
          <w:color w:val="0070C0"/>
          <w:sz w:val="36"/>
          <w:szCs w:val="36"/>
          <w:lang w:eastAsia="ru-RU"/>
        </w:rPr>
        <w:t>Яндекс</w:t>
      </w:r>
      <w:proofErr w:type="spellEnd"/>
      <w:r w:rsidRPr="00363664">
        <w:rPr>
          <w:rFonts w:ascii="Times New Roman" w:eastAsia="Times New Roman" w:hAnsi="Times New Roman" w:cs="Times New Roman"/>
          <w:color w:val="0070C0"/>
          <w:sz w:val="36"/>
          <w:szCs w:val="36"/>
          <w:lang w:eastAsia="ru-RU"/>
        </w:rPr>
        <w:t xml:space="preserve"> </w:t>
      </w:r>
      <w:proofErr w:type="spellStart"/>
      <w:r w:rsidRPr="00363664">
        <w:rPr>
          <w:rFonts w:ascii="Times New Roman" w:eastAsia="Times New Roman" w:hAnsi="Times New Roman" w:cs="Times New Roman"/>
          <w:color w:val="0070C0"/>
          <w:sz w:val="36"/>
          <w:szCs w:val="36"/>
          <w:lang w:eastAsia="ru-RU"/>
        </w:rPr>
        <w:t>Go</w:t>
      </w:r>
      <w:proofErr w:type="spellEnd"/>
      <w:r w:rsidRPr="00363664">
        <w:rPr>
          <w:rFonts w:ascii="Times New Roman" w:eastAsia="Times New Roman" w:hAnsi="Times New Roman" w:cs="Times New Roman"/>
          <w:color w:val="0070C0"/>
          <w:sz w:val="36"/>
          <w:szCs w:val="36"/>
          <w:lang w:eastAsia="ru-RU"/>
        </w:rPr>
        <w:t>». В таких чеках не указывается маршрут поездки, только время, дата и стоимость перевозки. Других оправдательных документов мобильное приложение не предоставляет.</w:t>
      </w:r>
    </w:p>
    <w:p w:rsidR="008872E9" w:rsidRDefault="008872E9" w:rsidP="00363664">
      <w:pPr>
        <w:spacing w:after="0" w:line="240" w:lineRule="auto"/>
        <w:ind w:firstLine="567"/>
        <w:jc w:val="both"/>
        <w:rPr>
          <w:rFonts w:ascii="Times New Roman" w:eastAsia="Times New Roman" w:hAnsi="Times New Roman" w:cs="Times New Roman"/>
          <w:color w:val="000000"/>
          <w:sz w:val="36"/>
          <w:szCs w:val="36"/>
          <w:lang w:val="en-US" w:eastAsia="ru-RU"/>
        </w:rPr>
      </w:pPr>
    </w:p>
    <w:p w:rsidR="008872E9" w:rsidRPr="002C3B97" w:rsidRDefault="008872E9" w:rsidP="008872E9">
      <w:pPr>
        <w:pStyle w:val="a3"/>
        <w:shd w:val="clear" w:color="auto" w:fill="FFFFFF"/>
        <w:spacing w:before="0" w:beforeAutospacing="0" w:after="63" w:afterAutospacing="0" w:line="158" w:lineRule="atLeast"/>
        <w:rPr>
          <w:color w:val="414141"/>
        </w:rPr>
      </w:pPr>
      <w:proofErr w:type="gramStart"/>
      <w:r w:rsidRPr="002C3B97">
        <w:rPr>
          <w:color w:val="414141"/>
        </w:rPr>
        <w:t>Минфин России признает, что в целях налогообложения прибыли можно учитывать (в составе прочих расходов) расходы на проезд работника на такси в аэропорт при направлении в служебную командировку (как внутри страны, так и за ее пределы) при условии их экономической целесообразности (письма Минфина России от 22.05.2009 № 03-03-06/1/339, от 12.05.2008 № 03-03-06/2/47, от 19.12.2007 № 03-03-06/4/880).</w:t>
      </w:r>
      <w:proofErr w:type="gramEnd"/>
      <w:r w:rsidRPr="002C3B97">
        <w:rPr>
          <w:color w:val="414141"/>
        </w:rPr>
        <w:t xml:space="preserve"> Кроме того, расходы на услуги такси необходимо подтвердить первичными документами.</w:t>
      </w:r>
    </w:p>
    <w:p w:rsidR="008872E9" w:rsidRPr="002C3B97" w:rsidRDefault="008872E9" w:rsidP="008872E9">
      <w:pPr>
        <w:pStyle w:val="a3"/>
        <w:shd w:val="clear" w:color="auto" w:fill="FFFFFF"/>
        <w:spacing w:before="0" w:beforeAutospacing="0" w:after="63" w:afterAutospacing="0" w:line="158" w:lineRule="atLeast"/>
        <w:rPr>
          <w:color w:val="414141"/>
        </w:rPr>
      </w:pPr>
      <w:r w:rsidRPr="002C3B97">
        <w:rPr>
          <w:color w:val="414141"/>
        </w:rPr>
        <w:lastRenderedPageBreak/>
        <w:t>По мнению налоговых органов, документом, подтверждающим расходы на такси, является кассовый чек. Главное налоговое ведомство обращает внимание на то, что оказание услуг по перевозке пассажиров легковыми такси необходимо осуществлять с обязательным применением контрольно-кассовой техники (письмо ФНС РФ от 26.11.2007 № 06-6-10/526@). При отсутствии кассового чека налоговые органы отказывают в принятии расходов на проезд на такси в целях налогообложения.</w:t>
      </w:r>
    </w:p>
    <w:p w:rsidR="008872E9" w:rsidRPr="00363664" w:rsidRDefault="008872E9" w:rsidP="00363664">
      <w:pPr>
        <w:spacing w:after="0" w:line="240" w:lineRule="auto"/>
        <w:ind w:firstLine="567"/>
        <w:jc w:val="both"/>
        <w:rPr>
          <w:rFonts w:ascii="Times New Roman" w:eastAsia="Times New Roman" w:hAnsi="Times New Roman" w:cs="Times New Roman"/>
          <w:sz w:val="24"/>
          <w:szCs w:val="24"/>
          <w:lang w:eastAsia="ru-RU"/>
        </w:rPr>
      </w:pPr>
    </w:p>
    <w:p w:rsidR="00363664" w:rsidRPr="00363664" w:rsidRDefault="00363664" w:rsidP="00363664">
      <w:pPr>
        <w:spacing w:after="0" w:line="240" w:lineRule="auto"/>
        <w:rPr>
          <w:rFonts w:ascii="Times New Roman" w:eastAsia="Times New Roman" w:hAnsi="Times New Roman" w:cs="Times New Roman"/>
          <w:sz w:val="24"/>
          <w:szCs w:val="24"/>
          <w:lang w:eastAsia="ru-RU"/>
        </w:rPr>
      </w:pP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Вопрос №3.</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НКО безвозмездно арендует офис у администрации города по договору безвозмездного пользования (ссуды). С 2021 года с разрешения собственника в помещениях первого этажа проводится капитальный ремонт, включающий перепланировку помещений. На сегодняшний день НКО осуществляет свою деятельность в новых помещениях 1-го этажа, но подрядчиком еще не сданы все этапы работ, т.к. есть недостатки в работах, и они устраняются подрядчиком. Также еще не готов новый технический паспорт объекта с новой перепланировкой. </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С 2022 года заключен договор на капитальный ремонт помещений второго этажа. В соответствии с договором проведен только демонтаж и снесены перегородки. Продолжение капремонта 2-го этажа ожидается в 2023 году. В учете мы разделили капитальные затраты на два объекта: 1. Капитальный ремонт помещений 1 этажа; 2. Капитальный ремонт помещений 2-го этажа.</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Просим Вас разъяснить:</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1. правильно ли мы сделали, разделив капитальный ремонт на два объекта?</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2. когда НКО должно ввести отремонтированный объект в эксплуатацию? После внесения изменений в технический паспорт объекта и его регистрации в ЕГРН или после сдачи всех этапов работ подрядчиком?</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 xml:space="preserve">3. Образует ли результат капвложений в арендованное основное средство объект основных средств? По п.7 ФСБУ 6/2022 особенности бухучета аренды устанавливаются в ФСБУ 25/2018. По ФСБУ 25/2018 затраты на неотделимые </w:t>
      </w:r>
      <w:r w:rsidRPr="00363664">
        <w:rPr>
          <w:rFonts w:ascii="Times New Roman" w:eastAsia="Times New Roman" w:hAnsi="Times New Roman" w:cs="Times New Roman"/>
          <w:color w:val="0070C0"/>
          <w:sz w:val="36"/>
          <w:szCs w:val="36"/>
          <w:lang w:eastAsia="ru-RU"/>
        </w:rPr>
        <w:lastRenderedPageBreak/>
        <w:t>улучшения – в том числе и капвложения – не формируют у арендатора отдельный объект основных средств. Их включают в фактическую стоимость права пользования активом (</w:t>
      </w:r>
      <w:proofErr w:type="spellStart"/>
      <w:r w:rsidRPr="00363664">
        <w:rPr>
          <w:rFonts w:ascii="Times New Roman" w:eastAsia="Times New Roman" w:hAnsi="Times New Roman" w:cs="Times New Roman"/>
          <w:color w:val="0070C0"/>
          <w:sz w:val="36"/>
          <w:szCs w:val="36"/>
          <w:lang w:eastAsia="ru-RU"/>
        </w:rPr>
        <w:t>подп</w:t>
      </w:r>
      <w:proofErr w:type="spellEnd"/>
      <w:r w:rsidRPr="00363664">
        <w:rPr>
          <w:rFonts w:ascii="Times New Roman" w:eastAsia="Times New Roman" w:hAnsi="Times New Roman" w:cs="Times New Roman"/>
          <w:color w:val="0070C0"/>
          <w:sz w:val="36"/>
          <w:szCs w:val="36"/>
          <w:lang w:eastAsia="ru-RU"/>
        </w:rPr>
        <w:t>. «в» п.13).</w:t>
      </w:r>
    </w:p>
    <w:p w:rsidR="00363664" w:rsidRPr="00363664" w:rsidRDefault="00363664" w:rsidP="00363664">
      <w:pPr>
        <w:spacing w:after="0" w:line="240" w:lineRule="auto"/>
        <w:ind w:firstLine="567"/>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lang w:eastAsia="ru-RU"/>
        </w:rPr>
        <w:t>4. И что тогда возникает с налогом на имущество у арендатора? Если капвложения - это ППА, то налога на имущество не возникает, а если основное средство, то нужно платить налог до окончания договора аренды и передачи неотделимых улучшений арендодателю.</w:t>
      </w:r>
    </w:p>
    <w:p w:rsidR="00363664" w:rsidRPr="00363664" w:rsidRDefault="00363664" w:rsidP="00363664">
      <w:pPr>
        <w:spacing w:after="0" w:line="240" w:lineRule="auto"/>
        <w:rPr>
          <w:rFonts w:ascii="Times New Roman" w:eastAsia="Times New Roman" w:hAnsi="Times New Roman" w:cs="Times New Roman"/>
          <w:sz w:val="24"/>
          <w:szCs w:val="24"/>
          <w:lang w:eastAsia="ru-RU"/>
        </w:rPr>
      </w:pPr>
    </w:p>
    <w:p w:rsidR="00363664" w:rsidRPr="002C3B97" w:rsidRDefault="00363664" w:rsidP="00363664">
      <w:pPr>
        <w:spacing w:after="0" w:line="240" w:lineRule="auto"/>
        <w:rPr>
          <w:rFonts w:ascii="Times New Roman" w:eastAsia="Times New Roman" w:hAnsi="Times New Roman" w:cs="Times New Roman"/>
          <w:sz w:val="28"/>
          <w:szCs w:val="28"/>
          <w:lang w:eastAsia="ru-RU"/>
        </w:rPr>
      </w:pPr>
    </w:p>
    <w:p w:rsidR="002C3B97" w:rsidRPr="002C3B97" w:rsidRDefault="002C3B97" w:rsidP="002C3B97">
      <w:pPr>
        <w:pStyle w:val="2"/>
        <w:shd w:val="clear" w:color="auto" w:fill="FFFFFF"/>
        <w:spacing w:before="0" w:after="32"/>
        <w:rPr>
          <w:rFonts w:ascii="futura_pt_demi_reg" w:hAnsi="futura_pt_demi_reg"/>
          <w:b w:val="0"/>
          <w:bCs w:val="0"/>
          <w:color w:val="6B6B6B"/>
          <w:sz w:val="28"/>
          <w:szCs w:val="28"/>
        </w:rPr>
      </w:pPr>
      <w:r w:rsidRPr="002C3B97">
        <w:rPr>
          <w:rFonts w:ascii="futura_pt_demi_reg" w:hAnsi="futura_pt_demi_reg"/>
          <w:b w:val="0"/>
          <w:bCs w:val="0"/>
          <w:color w:val="6B6B6B"/>
          <w:sz w:val="28"/>
          <w:szCs w:val="28"/>
        </w:rPr>
        <w:t>Капремонт или неотделимые улучшения </w:t>
      </w:r>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Арендатор в арендованном помещении или здании произвел работы «улучшающего» характера. В первую очередь ему необходимо определить, относятся ли эти работы к капитальному ремонту или это неотделимые улучшения. Этот момент крайне важный, поскольку в зависимости от ответа будет разниться учет с налогообложением и величина налоговой нагрузки.</w:t>
      </w:r>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Если анализировать судебную практику по гражданским спорам, то можно увидеть, что некоторые суды не видят разницы между капитальным ремонтом и неотделимыми улучшениями (</w:t>
      </w:r>
      <w:proofErr w:type="gramStart"/>
      <w:r w:rsidRPr="002C3B97">
        <w:rPr>
          <w:rFonts w:ascii="Verdana" w:hAnsi="Verdana"/>
          <w:color w:val="6B6B6B"/>
          <w:sz w:val="28"/>
          <w:szCs w:val="28"/>
        </w:rPr>
        <w:t>см</w:t>
      </w:r>
      <w:proofErr w:type="gramEnd"/>
      <w:r w:rsidRPr="002C3B97">
        <w:rPr>
          <w:rFonts w:ascii="Verdana" w:hAnsi="Verdana"/>
          <w:color w:val="6B6B6B"/>
          <w:sz w:val="28"/>
          <w:szCs w:val="28"/>
        </w:rPr>
        <w:t xml:space="preserve">., например, постановление Арбитражного суда Московского округа от 12.04.2017 № Ф05-3402/2017 по делу № А40-226189/15). </w:t>
      </w:r>
      <w:proofErr w:type="gramStart"/>
      <w:r w:rsidRPr="002C3B97">
        <w:rPr>
          <w:rFonts w:ascii="Verdana" w:hAnsi="Verdana"/>
          <w:color w:val="6B6B6B"/>
          <w:sz w:val="28"/>
          <w:szCs w:val="28"/>
        </w:rPr>
        <w:t xml:space="preserve">Однако если спор касается непосредственно налоговых правонарушений, то позиция судов однозначна и заключается в том, что неотделимые улучшения и капитальный ремонт различны по своей правовой природе, и, соответственно, их налоговый учет отличается (постановления ФАС </w:t>
      </w:r>
      <w:proofErr w:type="spellStart"/>
      <w:r w:rsidRPr="002C3B97">
        <w:rPr>
          <w:rFonts w:ascii="Verdana" w:hAnsi="Verdana"/>
          <w:color w:val="6B6B6B"/>
          <w:sz w:val="28"/>
          <w:szCs w:val="28"/>
        </w:rPr>
        <w:t>Западно-Сибирского</w:t>
      </w:r>
      <w:proofErr w:type="spellEnd"/>
      <w:r w:rsidRPr="002C3B97">
        <w:rPr>
          <w:rFonts w:ascii="Verdana" w:hAnsi="Verdana"/>
          <w:color w:val="6B6B6B"/>
          <w:sz w:val="28"/>
          <w:szCs w:val="28"/>
        </w:rPr>
        <w:t xml:space="preserve"> округа от 28.05.2013 по делу № А75-8467/2011, ФАС Волго-Вятского округа от 22.10.2012 по делу № А11-8693/2011).</w:t>
      </w:r>
      <w:proofErr w:type="gramEnd"/>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Итак, как понять, что работы привели к созданию неотделимых улучшений, а не являются обычным капремонтом?</w:t>
      </w:r>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 xml:space="preserve">Основной целью ремонта является поддержание (восстановление) имущества в рабочем состоянии. Неотделимые улучшения – это результаты мероприятий, которые носят капитальный характер и связаны с модернизацией, достройкой, дооборудованием, </w:t>
      </w:r>
      <w:r w:rsidRPr="002C3B97">
        <w:rPr>
          <w:rFonts w:ascii="Verdana" w:hAnsi="Verdana"/>
          <w:color w:val="6B6B6B"/>
          <w:sz w:val="28"/>
          <w:szCs w:val="28"/>
        </w:rPr>
        <w:lastRenderedPageBreak/>
        <w:t xml:space="preserve">реконструкцией, техническим перевооружением имущества. </w:t>
      </w:r>
      <w:proofErr w:type="gramStart"/>
      <w:r w:rsidRPr="002C3B97">
        <w:rPr>
          <w:rFonts w:ascii="Verdana" w:hAnsi="Verdana"/>
          <w:color w:val="6B6B6B"/>
          <w:sz w:val="28"/>
          <w:szCs w:val="28"/>
        </w:rPr>
        <w:t xml:space="preserve">Таким образом, основное отличие ремонта от неотделимых улучшений состоит в том, что в последнем случае свойства объекта </w:t>
      </w:r>
      <w:r w:rsidRPr="002C3B97">
        <w:rPr>
          <w:rFonts w:ascii="Verdana" w:hAnsi="Verdana"/>
          <w:color w:val="6B6B6B"/>
          <w:sz w:val="28"/>
          <w:szCs w:val="28"/>
          <w:highlight w:val="yellow"/>
        </w:rPr>
        <w:t>совершенствуются, повышаются его качество и технико-экономические показатели, либо у объекта появляются новые дополнительные свойства имущества, без которых оно существовало и могло использоваться по назначению</w:t>
      </w:r>
      <w:r w:rsidRPr="002C3B97">
        <w:rPr>
          <w:rFonts w:ascii="Verdana" w:hAnsi="Verdana"/>
          <w:color w:val="6B6B6B"/>
          <w:sz w:val="28"/>
          <w:szCs w:val="28"/>
        </w:rPr>
        <w:t xml:space="preserve"> (постановление Арбитражного суда Поволжского округа от 31.01.2022 № Ф06-13720/2021 по делу № А72-13737/2020).</w:t>
      </w:r>
      <w:proofErr w:type="gramEnd"/>
      <w:r w:rsidRPr="002C3B97">
        <w:rPr>
          <w:rFonts w:ascii="Verdana" w:hAnsi="Verdana"/>
          <w:color w:val="6B6B6B"/>
          <w:sz w:val="28"/>
          <w:szCs w:val="28"/>
        </w:rPr>
        <w:t xml:space="preserve"> Примером неотделимых улучшений являются работы, в результате которых, например, изменилось служебное назначение помещения, увеличилась его площадь.</w:t>
      </w:r>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Допустим, арендатор убедился, что произведенные работы привели к возникновению неотделимых улучшений. И здесь, чтобы понять, возникает ли объект налогообложения по налогу на имущество, стоит затронуть вопрос учета в соответствии с новыми стандартами. </w:t>
      </w:r>
    </w:p>
    <w:p w:rsidR="002C3B97" w:rsidRP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 xml:space="preserve">Ранее в соответствии с </w:t>
      </w:r>
      <w:proofErr w:type="gramStart"/>
      <w:r w:rsidRPr="002C3B97">
        <w:rPr>
          <w:rFonts w:ascii="Verdana" w:hAnsi="Verdana"/>
          <w:color w:val="6B6B6B"/>
          <w:sz w:val="28"/>
          <w:szCs w:val="28"/>
        </w:rPr>
        <w:t>устаревшим</w:t>
      </w:r>
      <w:proofErr w:type="gramEnd"/>
      <w:r w:rsidRPr="002C3B97">
        <w:rPr>
          <w:rFonts w:ascii="Verdana" w:hAnsi="Verdana"/>
          <w:color w:val="6B6B6B"/>
          <w:sz w:val="28"/>
          <w:szCs w:val="28"/>
        </w:rPr>
        <w:t xml:space="preserve"> ПБУ 6/01 капитальные вложения в арендованные объекты ОС учитывались в составе основных средств. По новому стандарту ФСБУ 6/2020 «Основные средства» капитальные вложения в арендованные объекты основных средств не относятся к основным средствам. Однако в п. 5 ФСБУ 26/2020 «Капитальные вложения» перечень затрат, которые относятся к капитальным вложениям, является открытым. </w:t>
      </w:r>
      <w:r>
        <w:rPr>
          <w:rFonts w:ascii="Verdana" w:hAnsi="Verdana"/>
          <w:color w:val="6B6B6B"/>
          <w:sz w:val="28"/>
          <w:szCs w:val="28"/>
        </w:rPr>
        <w:t>В связи с этим есть позиция</w:t>
      </w:r>
      <w:r w:rsidRPr="002C3B97">
        <w:rPr>
          <w:rFonts w:ascii="Verdana" w:hAnsi="Verdana"/>
          <w:color w:val="6B6B6B"/>
          <w:sz w:val="28"/>
          <w:szCs w:val="28"/>
        </w:rPr>
        <w:t>, что затраты на неотделимые улучшения в арендованный предмет аренды можно включить в капитальные вложения, а по завершении работ признать объектом ОС (п. 18 ФСБУ 26/2020), если удовлетворяют условиям п. 6 ФСБУ 26/2020, п. 4 ФСБУ 6/2020.</w:t>
      </w:r>
    </w:p>
    <w:p w:rsidR="002C3B97" w:rsidRDefault="002C3B97" w:rsidP="002C3B97">
      <w:pPr>
        <w:pStyle w:val="a3"/>
        <w:shd w:val="clear" w:color="auto" w:fill="FFFFFF"/>
        <w:spacing w:before="0" w:beforeAutospacing="0" w:after="76" w:afterAutospacing="0"/>
        <w:rPr>
          <w:rFonts w:ascii="Verdana" w:hAnsi="Verdana"/>
          <w:color w:val="6B6B6B"/>
          <w:sz w:val="28"/>
          <w:szCs w:val="28"/>
        </w:rPr>
      </w:pPr>
      <w:r w:rsidRPr="002C3B97">
        <w:rPr>
          <w:rFonts w:ascii="Verdana" w:hAnsi="Verdana"/>
          <w:color w:val="6B6B6B"/>
          <w:sz w:val="28"/>
          <w:szCs w:val="28"/>
        </w:rPr>
        <w:t>Таким образом, с момента готовности неотделимых улучшений, когда они включены в состав основных средств, арендатор становится плательщиком налога на имущество. Правомерность данного вывода, в т.ч. с учетом новых стандартов, подтверждается и разъяснениями чиновников (письма Минфина России от 14.12.2021 № 03-05-05-01/101648, от 17.02.2022 № 03-05-05-01/11290).</w:t>
      </w:r>
    </w:p>
    <w:p w:rsidR="00DE1B56" w:rsidRDefault="00DE1B56" w:rsidP="002C3B97">
      <w:pPr>
        <w:pStyle w:val="a3"/>
        <w:shd w:val="clear" w:color="auto" w:fill="FFFFFF"/>
        <w:spacing w:before="0" w:beforeAutospacing="0" w:after="76" w:afterAutospacing="0"/>
        <w:rPr>
          <w:rFonts w:ascii="Verdana" w:hAnsi="Verdana"/>
          <w:color w:val="6B6B6B"/>
          <w:sz w:val="28"/>
          <w:szCs w:val="28"/>
        </w:rPr>
      </w:pPr>
    </w:p>
    <w:p w:rsidR="00DE1B56" w:rsidRPr="00DE1B56" w:rsidRDefault="00DE1B56" w:rsidP="00DE1B56">
      <w:pPr>
        <w:spacing w:before="51" w:after="101" w:line="227" w:lineRule="atLeast"/>
        <w:outlineLvl w:val="0"/>
        <w:rPr>
          <w:rFonts w:ascii="Times New Roman" w:eastAsia="Times New Roman" w:hAnsi="Times New Roman" w:cs="Times New Roman"/>
          <w:b/>
          <w:bCs/>
          <w:kern w:val="36"/>
          <w:sz w:val="24"/>
          <w:szCs w:val="24"/>
          <w:lang w:eastAsia="ru-RU"/>
        </w:rPr>
      </w:pPr>
      <w:r w:rsidRPr="00DE1B56">
        <w:rPr>
          <w:rFonts w:ascii="Times New Roman" w:eastAsia="Times New Roman" w:hAnsi="Times New Roman" w:cs="Times New Roman"/>
          <w:b/>
          <w:bCs/>
          <w:kern w:val="36"/>
          <w:sz w:val="24"/>
          <w:szCs w:val="24"/>
          <w:lang w:eastAsia="ru-RU"/>
        </w:rPr>
        <w:t>Министерство финансов Российской Федерации: Письмо № 03-05-05-01/101648 от 14.12.2021</w:t>
      </w:r>
    </w:p>
    <w:p w:rsidR="00DE1B56" w:rsidRPr="00DE1B56" w:rsidRDefault="00DE1B56" w:rsidP="00DE1B56">
      <w:pPr>
        <w:spacing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b/>
          <w:bCs/>
          <w:color w:val="0A0A0A"/>
          <w:sz w:val="24"/>
          <w:szCs w:val="24"/>
          <w:lang w:eastAsia="ru-RU"/>
        </w:rPr>
        <w:t>Вопрос:</w:t>
      </w:r>
      <w:r w:rsidRPr="00DE1B56">
        <w:rPr>
          <w:rFonts w:ascii="Times New Roman" w:eastAsia="Times New Roman" w:hAnsi="Times New Roman" w:cs="Times New Roman"/>
          <w:color w:val="0A0A0A"/>
          <w:sz w:val="24"/>
          <w:szCs w:val="24"/>
          <w:lang w:eastAsia="ru-RU"/>
        </w:rPr>
        <w:t> О налоге на имущество организаций в отношении капитальных вложений в арендованные объекты основных средств.</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b/>
          <w:bCs/>
          <w:color w:val="0A0A0A"/>
          <w:sz w:val="24"/>
          <w:szCs w:val="24"/>
          <w:lang w:eastAsia="ru-RU"/>
        </w:rPr>
        <w:lastRenderedPageBreak/>
        <w:t>Ответ:</w:t>
      </w:r>
      <w:r w:rsidRPr="00DE1B56">
        <w:rPr>
          <w:rFonts w:ascii="Times New Roman" w:eastAsia="Times New Roman" w:hAnsi="Times New Roman" w:cs="Times New Roman"/>
          <w:color w:val="0A0A0A"/>
          <w:sz w:val="24"/>
          <w:szCs w:val="24"/>
          <w:lang w:eastAsia="ru-RU"/>
        </w:rPr>
        <w:t> </w:t>
      </w:r>
      <w:proofErr w:type="gramStart"/>
      <w:r w:rsidRPr="00DE1B56">
        <w:rPr>
          <w:rFonts w:ascii="Times New Roman" w:eastAsia="Times New Roman" w:hAnsi="Times New Roman" w:cs="Times New Roman"/>
          <w:color w:val="0A0A0A"/>
          <w:sz w:val="24"/>
          <w:szCs w:val="24"/>
          <w:lang w:eastAsia="ru-RU"/>
        </w:rPr>
        <w:t>Департамент налоговой политики рассмотрел письмо от 23.11.2021 и сообщает, что Положением о Министерстве финансов Российской Федерации, утвержденным постановлением Правительства Российской Федерации от 30.06.2004 N 329, не предусмотрено рассмотрение обращений организаций по практике применения нормативных правовых актов Министерства финансов Российской Федерации, по проведению экспертизы договоров и иных документов организаций, а также по оценке конкретных хозяйственных ситуаций.</w:t>
      </w:r>
      <w:proofErr w:type="gramEnd"/>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proofErr w:type="gramStart"/>
      <w:r w:rsidRPr="00DE1B56">
        <w:rPr>
          <w:rFonts w:ascii="Times New Roman" w:eastAsia="Times New Roman" w:hAnsi="Times New Roman" w:cs="Times New Roman"/>
          <w:color w:val="0A0A0A"/>
          <w:sz w:val="24"/>
          <w:szCs w:val="24"/>
          <w:lang w:eastAsia="ru-RU"/>
        </w:rPr>
        <w:t>Одновременно сообщаем, что в соответствии с пунктом 1 статьи 374 Налогового кодекса Российской Федерации (далее — Кодекс) объектами налогообложения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средств в порядке, установленном для ведения</w:t>
      </w:r>
      <w:proofErr w:type="gramEnd"/>
      <w:r w:rsidRPr="00DE1B56">
        <w:rPr>
          <w:rFonts w:ascii="Times New Roman" w:eastAsia="Times New Roman" w:hAnsi="Times New Roman" w:cs="Times New Roman"/>
          <w:color w:val="0A0A0A"/>
          <w:sz w:val="24"/>
          <w:szCs w:val="24"/>
          <w:lang w:eastAsia="ru-RU"/>
        </w:rPr>
        <w:t xml:space="preserve"> бухгалтерского учета, в случае, если налоговая база в отношении такого имущества определяется в соответствии с пунктом 1 статьи 375 Кодекса (как среднегодовая стоимость имущества), если иное не предусмотрено статьями 378 и 378.1 Кодекса.</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proofErr w:type="gramStart"/>
      <w:r w:rsidRPr="00DE1B56">
        <w:rPr>
          <w:rFonts w:ascii="Times New Roman" w:eastAsia="Times New Roman" w:hAnsi="Times New Roman" w:cs="Times New Roman"/>
          <w:color w:val="0A0A0A"/>
          <w:sz w:val="24"/>
          <w:szCs w:val="24"/>
          <w:lang w:eastAsia="ru-RU"/>
        </w:rPr>
        <w:t>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утвержденным приказом Минфина России от 30.03.2001 N 26н, согласно которому актив принимается организацией к бухгалтерскому учету в качестве основных средств, если одновременно выполняются условия, установленные пунктом 4 ПБУ 6/01, в том числе объект должен быть предназначен для использования</w:t>
      </w:r>
      <w:proofErr w:type="gramEnd"/>
      <w:r w:rsidRPr="00DE1B56">
        <w:rPr>
          <w:rFonts w:ascii="Times New Roman" w:eastAsia="Times New Roman" w:hAnsi="Times New Roman" w:cs="Times New Roman"/>
          <w:color w:val="0A0A0A"/>
          <w:sz w:val="24"/>
          <w:szCs w:val="24"/>
          <w:lang w:eastAsia="ru-RU"/>
        </w:rPr>
        <w:t xml:space="preserve"> в течение длительного времени, т.е. срока продолжительностью свыше 12 месяцев или обычного операционного цикла, если он превышает 12 месяцев (подпункт «б» пункта 4 ПБУ 6/01). Пунктом 5 ПБУ 6/01 установлено, что в составе основных средств учитываются капитальные вложения в арендованные объекты основных средств. Следовательно, указанные капитальные вложения подлежат обложению налогом на имущество организаций.</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С 1 января 2022 порядок признания затрат в качестве капитальных вложений и активов — в качестве основных средств установлен соответственно ФСБУ 26/2020 «Капитальные вложения» и ФСБУ 6/2020 «Основные средства», утвержденными приказом Минфина России от 17.09.2020 N 204н (организация может принять решение о применении данных ФСБУ до указанного срока).</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Для целей бухгалтерского учета объектом основных сре</w:t>
      </w:r>
      <w:proofErr w:type="gramStart"/>
      <w:r w:rsidRPr="00DE1B56">
        <w:rPr>
          <w:rFonts w:ascii="Times New Roman" w:eastAsia="Times New Roman" w:hAnsi="Times New Roman" w:cs="Times New Roman"/>
          <w:color w:val="0A0A0A"/>
          <w:sz w:val="24"/>
          <w:szCs w:val="24"/>
          <w:lang w:eastAsia="ru-RU"/>
        </w:rPr>
        <w:t>дств сч</w:t>
      </w:r>
      <w:proofErr w:type="gramEnd"/>
      <w:r w:rsidRPr="00DE1B56">
        <w:rPr>
          <w:rFonts w:ascii="Times New Roman" w:eastAsia="Times New Roman" w:hAnsi="Times New Roman" w:cs="Times New Roman"/>
          <w:color w:val="0A0A0A"/>
          <w:sz w:val="24"/>
          <w:szCs w:val="24"/>
          <w:lang w:eastAsia="ru-RU"/>
        </w:rPr>
        <w:t>итается актив, характеризующийся одновременно признаками, установленными пунктом 4 ФСБУ 6/2020.</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Затраты организации на улучшение и (или) восстановление объектов основных сре</w:t>
      </w:r>
      <w:proofErr w:type="gramStart"/>
      <w:r w:rsidRPr="00DE1B56">
        <w:rPr>
          <w:rFonts w:ascii="Times New Roman" w:eastAsia="Times New Roman" w:hAnsi="Times New Roman" w:cs="Times New Roman"/>
          <w:color w:val="0A0A0A"/>
          <w:sz w:val="24"/>
          <w:szCs w:val="24"/>
          <w:lang w:eastAsia="ru-RU"/>
        </w:rPr>
        <w:t>дств пр</w:t>
      </w:r>
      <w:proofErr w:type="gramEnd"/>
      <w:r w:rsidRPr="00DE1B56">
        <w:rPr>
          <w:rFonts w:ascii="Times New Roman" w:eastAsia="Times New Roman" w:hAnsi="Times New Roman" w:cs="Times New Roman"/>
          <w:color w:val="0A0A0A"/>
          <w:sz w:val="24"/>
          <w:szCs w:val="24"/>
          <w:lang w:eastAsia="ru-RU"/>
        </w:rPr>
        <w:t>изнаются в соответствии с пунктом 6 ФСБУ 26/2020 (за исключением затрат, указанных в пункте 16 ФСБУ 26/2020) в бухгалтерском учете капитальными вложениями при соблюдении условий, установленных пунктом 5 ФСБУ 26/2020.</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 xml:space="preserve">Согласно пункту 18 ФСБУ 26/2020 </w:t>
      </w:r>
      <w:r w:rsidRPr="00DE1B56">
        <w:rPr>
          <w:rFonts w:ascii="Times New Roman" w:eastAsia="Times New Roman" w:hAnsi="Times New Roman" w:cs="Times New Roman"/>
          <w:color w:val="0A0A0A"/>
          <w:sz w:val="24"/>
          <w:szCs w:val="24"/>
          <w:highlight w:val="yellow"/>
          <w:lang w:eastAsia="ru-RU"/>
        </w:rPr>
        <w:t xml:space="preserve">капитальные вложения по их завершении, то есть </w:t>
      </w:r>
      <w:r w:rsidRPr="00DE1B56">
        <w:rPr>
          <w:rFonts w:ascii="Times New Roman" w:eastAsia="Times New Roman" w:hAnsi="Times New Roman" w:cs="Times New Roman"/>
          <w:b/>
          <w:color w:val="FF0000"/>
          <w:sz w:val="24"/>
          <w:szCs w:val="24"/>
          <w:highlight w:val="yellow"/>
          <w:lang w:eastAsia="ru-RU"/>
        </w:rPr>
        <w:t>после приведения объекта капитальных вложений в состояние и местоположение, в которых он пригоден к использованию в запланированных целях</w:t>
      </w:r>
      <w:r w:rsidRPr="00DE1B56">
        <w:rPr>
          <w:rFonts w:ascii="Times New Roman" w:eastAsia="Times New Roman" w:hAnsi="Times New Roman" w:cs="Times New Roman"/>
          <w:color w:val="0A0A0A"/>
          <w:sz w:val="24"/>
          <w:szCs w:val="24"/>
          <w:highlight w:val="yellow"/>
          <w:lang w:eastAsia="ru-RU"/>
        </w:rPr>
        <w:t>, считаются основными средствами.</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proofErr w:type="spellStart"/>
      <w:r w:rsidRPr="00DE1B56">
        <w:rPr>
          <w:rFonts w:ascii="Times New Roman" w:eastAsia="Times New Roman" w:hAnsi="Times New Roman" w:cs="Times New Roman"/>
          <w:color w:val="0A0A0A"/>
          <w:sz w:val="24"/>
          <w:szCs w:val="24"/>
          <w:lang w:eastAsia="ru-RU"/>
        </w:rPr>
        <w:t>КонсультантПлюс</w:t>
      </w:r>
      <w:proofErr w:type="spellEnd"/>
      <w:r w:rsidRPr="00DE1B56">
        <w:rPr>
          <w:rFonts w:ascii="Times New Roman" w:eastAsia="Times New Roman" w:hAnsi="Times New Roman" w:cs="Times New Roman"/>
          <w:color w:val="0A0A0A"/>
          <w:sz w:val="24"/>
          <w:szCs w:val="24"/>
          <w:lang w:eastAsia="ru-RU"/>
        </w:rPr>
        <w:t>: примечание.</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В тексте документа, видимо, допущена опечатка: имеются в виду пункты 5 и 6 ФСБУ 26/2020, а не ФСБУ 6/2020.</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proofErr w:type="gramStart"/>
      <w:r w:rsidRPr="00DE1B56">
        <w:rPr>
          <w:rFonts w:ascii="Times New Roman" w:eastAsia="Times New Roman" w:hAnsi="Times New Roman" w:cs="Times New Roman"/>
          <w:color w:val="0A0A0A"/>
          <w:sz w:val="24"/>
          <w:szCs w:val="24"/>
          <w:lang w:eastAsia="ru-RU"/>
        </w:rPr>
        <w:t xml:space="preserve">Следовательно, по мнению Департамента, </w:t>
      </w:r>
      <w:r w:rsidRPr="00DE1B56">
        <w:rPr>
          <w:rFonts w:ascii="Times New Roman" w:eastAsia="Times New Roman" w:hAnsi="Times New Roman" w:cs="Times New Roman"/>
          <w:color w:val="0A0A0A"/>
          <w:sz w:val="24"/>
          <w:szCs w:val="24"/>
          <w:highlight w:val="yellow"/>
          <w:lang w:eastAsia="ru-RU"/>
        </w:rPr>
        <w:t xml:space="preserve">если затраты на неотделимые улучшения в арендованный объект недвижимого имущества удовлетворяют условиям пунктов </w:t>
      </w:r>
      <w:r w:rsidRPr="00DE1B56">
        <w:rPr>
          <w:rFonts w:ascii="Times New Roman" w:eastAsia="Times New Roman" w:hAnsi="Times New Roman" w:cs="Times New Roman"/>
          <w:color w:val="0A0A0A"/>
          <w:sz w:val="24"/>
          <w:szCs w:val="24"/>
          <w:highlight w:val="yellow"/>
          <w:lang w:eastAsia="ru-RU"/>
        </w:rPr>
        <w:lastRenderedPageBreak/>
        <w:t>5 и 6 ФСБУ 6/2020, а по их завершении учитываются в качестве основных средств на условиях пункта 4 ФСБУ 6/2020, то такой объект основных средств (затраты на неотделимые улучшения в арендованный объект недвижимого имущества) подлежит обложению налогом на имущество организаций у</w:t>
      </w:r>
      <w:proofErr w:type="gramEnd"/>
      <w:r w:rsidRPr="00DE1B56">
        <w:rPr>
          <w:rFonts w:ascii="Times New Roman" w:eastAsia="Times New Roman" w:hAnsi="Times New Roman" w:cs="Times New Roman"/>
          <w:color w:val="0A0A0A"/>
          <w:sz w:val="24"/>
          <w:szCs w:val="24"/>
          <w:highlight w:val="yellow"/>
          <w:lang w:eastAsia="ru-RU"/>
        </w:rPr>
        <w:t> арендатора до их выбытия из состава основных средств.</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 </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Заместитель директора Департамента</w:t>
      </w:r>
    </w:p>
    <w:p w:rsidR="00DE1B56" w:rsidRPr="00DE1B56" w:rsidRDefault="00DE1B56" w:rsidP="00DE1B56">
      <w:pPr>
        <w:spacing w:before="101" w:after="101" w:line="164" w:lineRule="atLeast"/>
        <w:rPr>
          <w:rFonts w:ascii="Times New Roman" w:eastAsia="Times New Roman" w:hAnsi="Times New Roman" w:cs="Times New Roman"/>
          <w:color w:val="0A0A0A"/>
          <w:sz w:val="24"/>
          <w:szCs w:val="24"/>
          <w:lang w:eastAsia="ru-RU"/>
        </w:rPr>
      </w:pPr>
      <w:r w:rsidRPr="00DE1B56">
        <w:rPr>
          <w:rFonts w:ascii="Times New Roman" w:eastAsia="Times New Roman" w:hAnsi="Times New Roman" w:cs="Times New Roman"/>
          <w:color w:val="0A0A0A"/>
          <w:sz w:val="24"/>
          <w:szCs w:val="24"/>
          <w:lang w:eastAsia="ru-RU"/>
        </w:rPr>
        <w:t>В.В.САШИЧЕВ</w:t>
      </w:r>
    </w:p>
    <w:p w:rsidR="00DE1B56" w:rsidRPr="00DE1B56" w:rsidRDefault="00DE1B56" w:rsidP="00DE1B56">
      <w:pPr>
        <w:spacing w:after="158" w:line="240" w:lineRule="auto"/>
        <w:outlineLvl w:val="0"/>
        <w:rPr>
          <w:rFonts w:ascii="Arial" w:eastAsia="Times New Roman" w:hAnsi="Arial" w:cs="Arial"/>
          <w:b/>
          <w:bCs/>
          <w:caps/>
          <w:color w:val="57B602"/>
          <w:kern w:val="36"/>
          <w:sz w:val="16"/>
          <w:szCs w:val="16"/>
          <w:lang w:eastAsia="ru-RU"/>
        </w:rPr>
      </w:pPr>
      <w:r>
        <w:rPr>
          <w:rFonts w:ascii="Arial" w:eastAsia="Times New Roman" w:hAnsi="Arial" w:cs="Arial"/>
          <w:b/>
          <w:bCs/>
          <w:caps/>
          <w:color w:val="57B602"/>
          <w:kern w:val="36"/>
          <w:sz w:val="16"/>
          <w:szCs w:val="16"/>
          <w:lang w:eastAsia="ru-RU"/>
        </w:rPr>
        <w:t xml:space="preserve"> </w:t>
      </w:r>
    </w:p>
    <w:p w:rsidR="00DE1B56" w:rsidRPr="00DE1B56" w:rsidRDefault="00DE1B56" w:rsidP="00DE1B56">
      <w:pPr>
        <w:spacing w:after="32" w:line="240" w:lineRule="auto"/>
        <w:jc w:val="right"/>
        <w:rPr>
          <w:rFonts w:ascii="Times New Roman" w:eastAsia="Times New Roman" w:hAnsi="Times New Roman" w:cs="Times New Roman"/>
          <w:sz w:val="9"/>
          <w:szCs w:val="9"/>
          <w:lang w:eastAsia="ru-RU"/>
        </w:rPr>
      </w:pPr>
      <w:r w:rsidRPr="00DE1B56">
        <w:rPr>
          <w:rFonts w:ascii="Times New Roman" w:eastAsia="Times New Roman" w:hAnsi="Times New Roman" w:cs="Times New Roman"/>
          <w:sz w:val="9"/>
          <w:szCs w:val="9"/>
          <w:lang w:eastAsia="ru-RU"/>
        </w:rPr>
        <w:t>Последнее изменение: 22.04.2022</w:t>
      </w:r>
    </w:p>
    <w:p w:rsidR="00DE1B56" w:rsidRPr="00DE1B56" w:rsidRDefault="00DE1B56" w:rsidP="00DE1B56">
      <w:pPr>
        <w:spacing w:after="126" w:line="240" w:lineRule="auto"/>
        <w:jc w:val="both"/>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b/>
          <w:bCs/>
          <w:color w:val="33305A"/>
          <w:sz w:val="24"/>
          <w:szCs w:val="24"/>
          <w:lang w:eastAsia="ru-RU"/>
        </w:rPr>
        <w:t>Вопрос:</w:t>
      </w:r>
      <w:r w:rsidRPr="00DE1B56">
        <w:rPr>
          <w:rFonts w:ascii="Times New Roman" w:eastAsia="Times New Roman" w:hAnsi="Times New Roman" w:cs="Times New Roman"/>
          <w:color w:val="33305A"/>
          <w:sz w:val="24"/>
          <w:szCs w:val="24"/>
          <w:lang w:eastAsia="ru-RU"/>
        </w:rPr>
        <w:t> </w:t>
      </w:r>
      <w:proofErr w:type="gramStart"/>
      <w:r w:rsidRPr="00DE1B56">
        <w:rPr>
          <w:rFonts w:ascii="Times New Roman" w:eastAsia="Times New Roman" w:hAnsi="Times New Roman" w:cs="Times New Roman"/>
          <w:color w:val="33305A"/>
          <w:sz w:val="24"/>
          <w:szCs w:val="24"/>
          <w:lang w:eastAsia="ru-RU"/>
        </w:rPr>
        <w:t>О налоге на имущество организаций в отношении капитальных вложений в виде неотделимых улучшений в арендованный объект</w:t>
      </w:r>
      <w:proofErr w:type="gramEnd"/>
      <w:r w:rsidRPr="00DE1B56">
        <w:rPr>
          <w:rFonts w:ascii="Times New Roman" w:eastAsia="Times New Roman" w:hAnsi="Times New Roman" w:cs="Times New Roman"/>
          <w:color w:val="33305A"/>
          <w:sz w:val="24"/>
          <w:szCs w:val="24"/>
          <w:lang w:eastAsia="ru-RU"/>
        </w:rPr>
        <w:t xml:space="preserve"> недвижимости, не возмещаемых арендодателем и учитываемых на балансе арендатора.</w:t>
      </w:r>
    </w:p>
    <w:p w:rsidR="00DE1B56" w:rsidRPr="00DE1B56" w:rsidRDefault="00DE1B56" w:rsidP="00DE1B56">
      <w:pPr>
        <w:spacing w:before="126" w:after="126" w:line="240" w:lineRule="auto"/>
        <w:jc w:val="both"/>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b/>
          <w:bCs/>
          <w:color w:val="33305A"/>
          <w:sz w:val="24"/>
          <w:szCs w:val="24"/>
          <w:lang w:eastAsia="ru-RU"/>
        </w:rPr>
        <w:t>Ответ:</w:t>
      </w:r>
    </w:p>
    <w:p w:rsidR="00DE1B56" w:rsidRPr="00DE1B56" w:rsidRDefault="00DE1B56" w:rsidP="00DE1B56">
      <w:pPr>
        <w:spacing w:before="126" w:after="126" w:line="240" w:lineRule="auto"/>
        <w:jc w:val="center"/>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color w:val="33305A"/>
          <w:sz w:val="24"/>
          <w:szCs w:val="24"/>
          <w:lang w:eastAsia="ru-RU"/>
        </w:rPr>
        <w:t>МИНИСТЕРСТВО ФИНАНСОВ РОССИЙСКОЙ ФЕДЕРАЦИИ</w:t>
      </w:r>
    </w:p>
    <w:p w:rsidR="00DE1B56" w:rsidRPr="00DE1B56" w:rsidRDefault="00DE1B56" w:rsidP="00DE1B56">
      <w:pPr>
        <w:spacing w:before="126" w:after="126" w:line="240" w:lineRule="auto"/>
        <w:jc w:val="center"/>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color w:val="33305A"/>
          <w:sz w:val="24"/>
          <w:szCs w:val="24"/>
          <w:lang w:eastAsia="ru-RU"/>
        </w:rPr>
        <w:t>ПИСЬМО</w:t>
      </w:r>
      <w:r w:rsidRPr="00DE1B56">
        <w:rPr>
          <w:rFonts w:ascii="Times New Roman" w:eastAsia="Times New Roman" w:hAnsi="Times New Roman" w:cs="Times New Roman"/>
          <w:color w:val="33305A"/>
          <w:sz w:val="24"/>
          <w:szCs w:val="24"/>
          <w:lang w:eastAsia="ru-RU"/>
        </w:rPr>
        <w:br/>
        <w:t>от 17 февраля 2022 г. N 03-05-05-01/11290</w:t>
      </w:r>
    </w:p>
    <w:p w:rsidR="00DE1B56" w:rsidRDefault="00DE1B56" w:rsidP="00DE1B56">
      <w:pPr>
        <w:spacing w:before="126" w:after="126" w:line="240" w:lineRule="auto"/>
        <w:jc w:val="both"/>
        <w:rPr>
          <w:rFonts w:ascii="Times New Roman" w:eastAsia="Times New Roman" w:hAnsi="Times New Roman" w:cs="Times New Roman"/>
          <w:color w:val="33305A"/>
          <w:sz w:val="24"/>
          <w:szCs w:val="24"/>
          <w:lang w:eastAsia="ru-RU"/>
        </w:rPr>
      </w:pPr>
      <w:proofErr w:type="gramStart"/>
      <w:r w:rsidRPr="00DE1B56">
        <w:rPr>
          <w:rFonts w:ascii="Times New Roman" w:eastAsia="Times New Roman" w:hAnsi="Times New Roman" w:cs="Times New Roman"/>
          <w:color w:val="33305A"/>
          <w:sz w:val="24"/>
          <w:szCs w:val="24"/>
          <w:lang w:eastAsia="ru-RU"/>
        </w:rPr>
        <w:t>Департамент налоговой политики рассмотрел письмо от 14.02.2022 и сообщает, что Положением о Министерстве финансов Российской Федерации, утвержденным постановлением Правительства Российской Федерации от 30.06.2004 N 329, не предусмотрено рассмотрение обращений организаций по практике применения нормативных правовых актов Министерства финансов Российской Федерации, по проведению экспертизы договоров и иных документов организаций, а также по оценке конкретных хозяйственных ситуаций.</w:t>
      </w:r>
      <w:proofErr w:type="gramEnd"/>
    </w:p>
    <w:p w:rsidR="00DE1B56" w:rsidRDefault="00DE1B56" w:rsidP="00DE1B56">
      <w:pPr>
        <w:spacing w:before="126" w:after="126" w:line="240" w:lineRule="auto"/>
        <w:jc w:val="both"/>
        <w:rPr>
          <w:rFonts w:ascii="Times New Roman" w:eastAsia="Times New Roman" w:hAnsi="Times New Roman" w:cs="Times New Roman"/>
          <w:color w:val="33305A"/>
          <w:sz w:val="24"/>
          <w:szCs w:val="24"/>
          <w:lang w:eastAsia="ru-RU"/>
        </w:rPr>
      </w:pPr>
      <w:proofErr w:type="gramStart"/>
      <w:r w:rsidRPr="00DE1B56">
        <w:rPr>
          <w:rFonts w:ascii="Times New Roman" w:eastAsia="Times New Roman" w:hAnsi="Times New Roman" w:cs="Times New Roman"/>
          <w:color w:val="33305A"/>
          <w:sz w:val="24"/>
          <w:szCs w:val="24"/>
          <w:lang w:eastAsia="ru-RU"/>
        </w:rPr>
        <w:t>Одновременно сообщаем, что в соответствии с пунктом 1 статьи 374 Налогового кодекса Российской Федерации (далее — Кодекс) объектами налогообложения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средств в порядке, установленном для ведения</w:t>
      </w:r>
      <w:proofErr w:type="gramEnd"/>
      <w:r w:rsidRPr="00DE1B56">
        <w:rPr>
          <w:rFonts w:ascii="Times New Roman" w:eastAsia="Times New Roman" w:hAnsi="Times New Roman" w:cs="Times New Roman"/>
          <w:color w:val="33305A"/>
          <w:sz w:val="24"/>
          <w:szCs w:val="24"/>
          <w:lang w:eastAsia="ru-RU"/>
        </w:rPr>
        <w:t xml:space="preserve"> бухгалтерского учета, в случае, если налоговая база в отношении такого имущества определяется в соответствии с пунктом 1 статьи 375 Кодекса (как среднегодовая стоимость имущества), если иное не предусмотрено статьями 378 и 378.1 Кодекса.</w:t>
      </w:r>
    </w:p>
    <w:p w:rsidR="00DE1B56" w:rsidRDefault="00DE1B56" w:rsidP="00DE1B56">
      <w:pPr>
        <w:spacing w:before="126" w:after="126" w:line="240" w:lineRule="auto"/>
        <w:jc w:val="both"/>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color w:val="33305A"/>
          <w:sz w:val="24"/>
          <w:szCs w:val="24"/>
          <w:lang w:eastAsia="ru-RU"/>
        </w:rPr>
        <w:t>С 1 января 2022 года согласно статье 378 Кодекса недвижимое имущество, переданное в аренду, в том числе по договору финансовой аренды (лизинга), подлежит налогообложению у арендодателя (лизингодателя). Данный порядок применятся вне зависимости от учета объекта аренды арендодателем (лизингодателем) или арендатором (лизингополучателем) в качестве основных средств или в качестве других активов.</w:t>
      </w:r>
      <w:r w:rsidRPr="00DE1B56">
        <w:rPr>
          <w:rFonts w:ascii="Times New Roman" w:eastAsia="Times New Roman" w:hAnsi="Times New Roman" w:cs="Times New Roman"/>
          <w:color w:val="33305A"/>
          <w:sz w:val="24"/>
          <w:szCs w:val="24"/>
          <w:lang w:eastAsia="ru-RU"/>
        </w:rPr>
        <w:br/>
        <w:t>С 1 января 2022 порядок признания затрат в качестве капитальных вложений и активов — в качестве основных средств установлен соответственно </w:t>
      </w:r>
      <w:hyperlink r:id="rId22" w:tgtFrame="_blank" w:history="1">
        <w:r w:rsidRPr="00DE1B56">
          <w:rPr>
            <w:rFonts w:ascii="Times New Roman" w:eastAsia="Times New Roman" w:hAnsi="Times New Roman" w:cs="Times New Roman"/>
            <w:color w:val="0785CE"/>
            <w:sz w:val="24"/>
            <w:szCs w:val="24"/>
            <w:u w:val="single"/>
            <w:lang w:eastAsia="ru-RU"/>
          </w:rPr>
          <w:t>ФСБУ 26/2020</w:t>
        </w:r>
      </w:hyperlink>
      <w:r w:rsidRPr="00DE1B56">
        <w:rPr>
          <w:rFonts w:ascii="Times New Roman" w:eastAsia="Times New Roman" w:hAnsi="Times New Roman" w:cs="Times New Roman"/>
          <w:color w:val="33305A"/>
          <w:sz w:val="24"/>
          <w:szCs w:val="24"/>
          <w:lang w:eastAsia="ru-RU"/>
        </w:rPr>
        <w:t> «Капитальные вложения» и </w:t>
      </w:r>
      <w:hyperlink r:id="rId23" w:tgtFrame="_blank" w:history="1">
        <w:r w:rsidRPr="00DE1B56">
          <w:rPr>
            <w:rFonts w:ascii="Times New Roman" w:eastAsia="Times New Roman" w:hAnsi="Times New Roman" w:cs="Times New Roman"/>
            <w:color w:val="0785CE"/>
            <w:sz w:val="24"/>
            <w:szCs w:val="24"/>
            <w:u w:val="single"/>
            <w:lang w:eastAsia="ru-RU"/>
          </w:rPr>
          <w:t>ФСБУ 6/2020</w:t>
        </w:r>
      </w:hyperlink>
      <w:r w:rsidRPr="00DE1B56">
        <w:rPr>
          <w:rFonts w:ascii="Times New Roman" w:eastAsia="Times New Roman" w:hAnsi="Times New Roman" w:cs="Times New Roman"/>
          <w:color w:val="33305A"/>
          <w:sz w:val="24"/>
          <w:szCs w:val="24"/>
          <w:lang w:eastAsia="ru-RU"/>
        </w:rPr>
        <w:t> «Основные средства», утвержденными приказом Минфина России от 17.09.2020 N 204н (организация может принять решение о применении данных ФСБУ до указанного срока).</w:t>
      </w:r>
    </w:p>
    <w:p w:rsidR="00DE1B56" w:rsidRPr="00DE1B56" w:rsidRDefault="00DE1B56" w:rsidP="00DE1B56">
      <w:pPr>
        <w:spacing w:before="126" w:after="126" w:line="240" w:lineRule="auto"/>
        <w:jc w:val="both"/>
        <w:rPr>
          <w:rFonts w:ascii="Times New Roman" w:eastAsia="Times New Roman" w:hAnsi="Times New Roman" w:cs="Times New Roman"/>
          <w:color w:val="33305A"/>
          <w:sz w:val="24"/>
          <w:szCs w:val="24"/>
          <w:lang w:eastAsia="ru-RU"/>
        </w:rPr>
      </w:pPr>
      <w:proofErr w:type="gramStart"/>
      <w:r w:rsidRPr="00DE1B56">
        <w:rPr>
          <w:rFonts w:ascii="Times New Roman" w:eastAsia="Times New Roman" w:hAnsi="Times New Roman" w:cs="Times New Roman"/>
          <w:color w:val="33305A"/>
          <w:sz w:val="24"/>
          <w:szCs w:val="24"/>
          <w:lang w:eastAsia="ru-RU"/>
        </w:rPr>
        <w:t>Для целей бухгалтерского учета объектом основных средств считается актив, характеризующийся одновременно признаками, установленными пунктом 4 </w:t>
      </w:r>
      <w:hyperlink r:id="rId24" w:tgtFrame="_blank" w:history="1">
        <w:r w:rsidRPr="00DE1B56">
          <w:rPr>
            <w:rFonts w:ascii="Times New Roman" w:eastAsia="Times New Roman" w:hAnsi="Times New Roman" w:cs="Times New Roman"/>
            <w:color w:val="0785CE"/>
            <w:sz w:val="24"/>
            <w:szCs w:val="24"/>
            <w:u w:val="single"/>
            <w:lang w:eastAsia="ru-RU"/>
          </w:rPr>
          <w:t>ФСБУ 6/2020</w:t>
        </w:r>
      </w:hyperlink>
      <w:r w:rsidRPr="00DE1B56">
        <w:rPr>
          <w:rFonts w:ascii="Times New Roman" w:eastAsia="Times New Roman" w:hAnsi="Times New Roman" w:cs="Times New Roman"/>
          <w:color w:val="33305A"/>
          <w:sz w:val="24"/>
          <w:szCs w:val="24"/>
          <w:lang w:eastAsia="ru-RU"/>
        </w:rPr>
        <w:t>.</w:t>
      </w:r>
      <w:r w:rsidRPr="00DE1B56">
        <w:rPr>
          <w:rFonts w:ascii="Times New Roman" w:eastAsia="Times New Roman" w:hAnsi="Times New Roman" w:cs="Times New Roman"/>
          <w:color w:val="33305A"/>
          <w:sz w:val="24"/>
          <w:szCs w:val="24"/>
          <w:lang w:eastAsia="ru-RU"/>
        </w:rPr>
        <w:br/>
        <w:t>Затраты организации на улучшение и (или) восстановление объектов основных средств признаются в соответствии с пунктом 6 </w:t>
      </w:r>
      <w:hyperlink r:id="rId25" w:tgtFrame="_blank" w:history="1">
        <w:r w:rsidRPr="00DE1B56">
          <w:rPr>
            <w:rFonts w:ascii="Times New Roman" w:eastAsia="Times New Roman" w:hAnsi="Times New Roman" w:cs="Times New Roman"/>
            <w:color w:val="0785CE"/>
            <w:sz w:val="24"/>
            <w:szCs w:val="24"/>
            <w:u w:val="single"/>
            <w:lang w:eastAsia="ru-RU"/>
          </w:rPr>
          <w:t>ФСБУ 26/2020</w:t>
        </w:r>
      </w:hyperlink>
      <w:r w:rsidRPr="00DE1B56">
        <w:rPr>
          <w:rFonts w:ascii="Times New Roman" w:eastAsia="Times New Roman" w:hAnsi="Times New Roman" w:cs="Times New Roman"/>
          <w:color w:val="33305A"/>
          <w:sz w:val="24"/>
          <w:szCs w:val="24"/>
          <w:lang w:eastAsia="ru-RU"/>
        </w:rPr>
        <w:t xml:space="preserve"> (за исключением затрат указанных </w:t>
      </w:r>
      <w:r w:rsidRPr="00DE1B56">
        <w:rPr>
          <w:rFonts w:ascii="Times New Roman" w:eastAsia="Times New Roman" w:hAnsi="Times New Roman" w:cs="Times New Roman"/>
          <w:color w:val="33305A"/>
          <w:sz w:val="24"/>
          <w:szCs w:val="24"/>
          <w:lang w:eastAsia="ru-RU"/>
        </w:rPr>
        <w:lastRenderedPageBreak/>
        <w:t>в пункте 16 </w:t>
      </w:r>
      <w:hyperlink r:id="rId26" w:tgtFrame="_blank" w:history="1">
        <w:r w:rsidRPr="00DE1B56">
          <w:rPr>
            <w:rFonts w:ascii="Times New Roman" w:eastAsia="Times New Roman" w:hAnsi="Times New Roman" w:cs="Times New Roman"/>
            <w:color w:val="0785CE"/>
            <w:sz w:val="24"/>
            <w:szCs w:val="24"/>
            <w:u w:val="single"/>
            <w:lang w:eastAsia="ru-RU"/>
          </w:rPr>
          <w:t>ФСБУ 26/2020</w:t>
        </w:r>
      </w:hyperlink>
      <w:r w:rsidRPr="00DE1B56">
        <w:rPr>
          <w:rFonts w:ascii="Times New Roman" w:eastAsia="Times New Roman" w:hAnsi="Times New Roman" w:cs="Times New Roman"/>
          <w:color w:val="33305A"/>
          <w:sz w:val="24"/>
          <w:szCs w:val="24"/>
          <w:lang w:eastAsia="ru-RU"/>
        </w:rPr>
        <w:t>) в бухгалтерском учете капитальными вложениями при соблюдении условий, установленных пунктом 5 </w:t>
      </w:r>
      <w:hyperlink r:id="rId27" w:tgtFrame="_blank" w:history="1">
        <w:r w:rsidRPr="00DE1B56">
          <w:rPr>
            <w:rFonts w:ascii="Times New Roman" w:eastAsia="Times New Roman" w:hAnsi="Times New Roman" w:cs="Times New Roman"/>
            <w:color w:val="0785CE"/>
            <w:sz w:val="24"/>
            <w:szCs w:val="24"/>
            <w:u w:val="single"/>
            <w:lang w:eastAsia="ru-RU"/>
          </w:rPr>
          <w:t>ФСБУ 26</w:t>
        </w:r>
        <w:proofErr w:type="gramEnd"/>
        <w:r w:rsidRPr="00DE1B56">
          <w:rPr>
            <w:rFonts w:ascii="Times New Roman" w:eastAsia="Times New Roman" w:hAnsi="Times New Roman" w:cs="Times New Roman"/>
            <w:color w:val="0785CE"/>
            <w:sz w:val="24"/>
            <w:szCs w:val="24"/>
            <w:u w:val="single"/>
            <w:lang w:eastAsia="ru-RU"/>
          </w:rPr>
          <w:t>/2020</w:t>
        </w:r>
      </w:hyperlink>
      <w:r w:rsidRPr="00DE1B56">
        <w:rPr>
          <w:rFonts w:ascii="Times New Roman" w:eastAsia="Times New Roman" w:hAnsi="Times New Roman" w:cs="Times New Roman"/>
          <w:color w:val="33305A"/>
          <w:sz w:val="24"/>
          <w:szCs w:val="24"/>
          <w:lang w:eastAsia="ru-RU"/>
        </w:rPr>
        <w:t>.</w:t>
      </w:r>
      <w:r w:rsidRPr="00DE1B56">
        <w:rPr>
          <w:rFonts w:ascii="Times New Roman" w:eastAsia="Times New Roman" w:hAnsi="Times New Roman" w:cs="Times New Roman"/>
          <w:color w:val="33305A"/>
          <w:sz w:val="24"/>
          <w:szCs w:val="24"/>
          <w:lang w:eastAsia="ru-RU"/>
        </w:rPr>
        <w:br/>
        <w:t>Согласно пункту 18 </w:t>
      </w:r>
      <w:hyperlink r:id="rId28" w:tgtFrame="_blank" w:history="1">
        <w:r w:rsidRPr="00DE1B56">
          <w:rPr>
            <w:rFonts w:ascii="Times New Roman" w:eastAsia="Times New Roman" w:hAnsi="Times New Roman" w:cs="Times New Roman"/>
            <w:color w:val="0785CE"/>
            <w:sz w:val="24"/>
            <w:szCs w:val="24"/>
            <w:u w:val="single"/>
            <w:lang w:eastAsia="ru-RU"/>
          </w:rPr>
          <w:t>ФСБУ 26/2020</w:t>
        </w:r>
      </w:hyperlink>
      <w:r w:rsidRPr="00DE1B56">
        <w:rPr>
          <w:rFonts w:ascii="Times New Roman" w:eastAsia="Times New Roman" w:hAnsi="Times New Roman" w:cs="Times New Roman"/>
          <w:color w:val="33305A"/>
          <w:sz w:val="24"/>
          <w:szCs w:val="24"/>
          <w:lang w:eastAsia="ru-RU"/>
        </w:rPr>
        <w:t> капитальные вложения по их завершении, то есть после приведения объекта капитальных вложений в состояние и местоположение, в которых он пригоден к использованию в запланированных целях, считаются основными средствами.</w:t>
      </w:r>
      <w:r w:rsidRPr="00DE1B56">
        <w:rPr>
          <w:rFonts w:ascii="Times New Roman" w:eastAsia="Times New Roman" w:hAnsi="Times New Roman" w:cs="Times New Roman"/>
          <w:color w:val="33305A"/>
          <w:sz w:val="24"/>
          <w:szCs w:val="24"/>
          <w:lang w:eastAsia="ru-RU"/>
        </w:rPr>
        <w:br/>
      </w:r>
      <w:proofErr w:type="gramStart"/>
      <w:r w:rsidRPr="00DE1B56">
        <w:rPr>
          <w:rFonts w:ascii="Times New Roman" w:eastAsia="Times New Roman" w:hAnsi="Times New Roman" w:cs="Times New Roman"/>
          <w:color w:val="33305A"/>
          <w:sz w:val="24"/>
          <w:szCs w:val="24"/>
          <w:lang w:eastAsia="ru-RU"/>
        </w:rPr>
        <w:t>По мнению Департамента, в случае если капитальные вложения на неотделимые улучшения в арендованный объект недвижимого имущества по их завершении не возмещены арендодателем и учитываются в качестве основного средства на балансе арендатора, то налог на имущество организаций уплачивается арендатором до выбытия этого основного средства из состава основных средств в установленном </w:t>
      </w:r>
      <w:hyperlink r:id="rId29" w:tgtFrame="_blank" w:history="1">
        <w:r w:rsidRPr="00DE1B56">
          <w:rPr>
            <w:rFonts w:ascii="Times New Roman" w:eastAsia="Times New Roman" w:hAnsi="Times New Roman" w:cs="Times New Roman"/>
            <w:color w:val="0785CE"/>
            <w:sz w:val="24"/>
            <w:szCs w:val="24"/>
            <w:u w:val="single"/>
            <w:lang w:eastAsia="ru-RU"/>
          </w:rPr>
          <w:t>ФСБУ 6/2020</w:t>
        </w:r>
      </w:hyperlink>
      <w:r w:rsidRPr="00DE1B56">
        <w:rPr>
          <w:rFonts w:ascii="Times New Roman" w:eastAsia="Times New Roman" w:hAnsi="Times New Roman" w:cs="Times New Roman"/>
          <w:color w:val="33305A"/>
          <w:sz w:val="24"/>
          <w:szCs w:val="24"/>
          <w:lang w:eastAsia="ru-RU"/>
        </w:rPr>
        <w:t> порядке.</w:t>
      </w:r>
      <w:proofErr w:type="gramEnd"/>
    </w:p>
    <w:p w:rsidR="00DE1B56" w:rsidRPr="00DE1B56" w:rsidRDefault="00DE1B56" w:rsidP="00DE1B56">
      <w:pPr>
        <w:spacing w:before="126" w:after="126" w:line="240" w:lineRule="auto"/>
        <w:jc w:val="right"/>
        <w:rPr>
          <w:rFonts w:ascii="Times New Roman" w:eastAsia="Times New Roman" w:hAnsi="Times New Roman" w:cs="Times New Roman"/>
          <w:color w:val="33305A"/>
          <w:sz w:val="24"/>
          <w:szCs w:val="24"/>
          <w:lang w:eastAsia="ru-RU"/>
        </w:rPr>
      </w:pPr>
      <w:r w:rsidRPr="00DE1B56">
        <w:rPr>
          <w:rFonts w:ascii="Times New Roman" w:eastAsia="Times New Roman" w:hAnsi="Times New Roman" w:cs="Times New Roman"/>
          <w:color w:val="33305A"/>
          <w:sz w:val="24"/>
          <w:szCs w:val="24"/>
          <w:lang w:eastAsia="ru-RU"/>
        </w:rPr>
        <w:t>Заместитель директора Департамента</w:t>
      </w:r>
      <w:r w:rsidRPr="00DE1B56">
        <w:rPr>
          <w:rFonts w:ascii="Times New Roman" w:eastAsia="Times New Roman" w:hAnsi="Times New Roman" w:cs="Times New Roman"/>
          <w:color w:val="33305A"/>
          <w:sz w:val="24"/>
          <w:szCs w:val="24"/>
          <w:lang w:eastAsia="ru-RU"/>
        </w:rPr>
        <w:br/>
        <w:t>В.В.САШИЧЕВ</w:t>
      </w:r>
    </w:p>
    <w:p w:rsidR="00DE1B56" w:rsidRPr="002C3B97" w:rsidRDefault="00DE1B56" w:rsidP="002C3B97">
      <w:pPr>
        <w:pStyle w:val="a3"/>
        <w:shd w:val="clear" w:color="auto" w:fill="FFFFFF"/>
        <w:spacing w:before="0" w:beforeAutospacing="0" w:after="76" w:afterAutospacing="0"/>
        <w:rPr>
          <w:rFonts w:ascii="Verdana" w:hAnsi="Verdana"/>
          <w:color w:val="6B6B6B"/>
          <w:sz w:val="28"/>
          <w:szCs w:val="28"/>
        </w:rPr>
      </w:pPr>
    </w:p>
    <w:p w:rsidR="008872E9" w:rsidRPr="00363664" w:rsidRDefault="002C3B97" w:rsidP="002C3B97">
      <w:pPr>
        <w:spacing w:after="0" w:line="240" w:lineRule="auto"/>
        <w:rPr>
          <w:rFonts w:ascii="Times New Roman" w:eastAsia="Times New Roman" w:hAnsi="Times New Roman" w:cs="Times New Roman"/>
          <w:sz w:val="24"/>
          <w:szCs w:val="24"/>
          <w:lang w:eastAsia="ru-RU"/>
        </w:rPr>
      </w:pPr>
      <w:r>
        <w:rPr>
          <w:rFonts w:ascii="Verdana" w:hAnsi="Verdana"/>
          <w:color w:val="6B6B6B"/>
          <w:sz w:val="9"/>
          <w:szCs w:val="9"/>
        </w:rPr>
        <w:br/>
      </w:r>
    </w:p>
    <w:p w:rsidR="00363664" w:rsidRPr="00363664" w:rsidRDefault="00363664" w:rsidP="00363664">
      <w:pPr>
        <w:spacing w:before="400" w:after="120" w:line="240" w:lineRule="auto"/>
        <w:ind w:left="720"/>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000000"/>
          <w:kern w:val="36"/>
          <w:sz w:val="36"/>
          <w:szCs w:val="36"/>
          <w:lang w:eastAsia="ru-RU"/>
        </w:rPr>
        <w:t>5. Татьяна Игоревна Ш.</w:t>
      </w:r>
    </w:p>
    <w:p w:rsidR="00363664" w:rsidRPr="00363664" w:rsidRDefault="00363664" w:rsidP="00363664">
      <w:pPr>
        <w:shd w:val="clear" w:color="auto" w:fill="FFFFFF"/>
        <w:spacing w:before="220" w:after="0" w:line="240" w:lineRule="auto"/>
        <w:ind w:firstLine="720"/>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FF0000"/>
          <w:kern w:val="36"/>
          <w:sz w:val="36"/>
          <w:szCs w:val="36"/>
          <w:shd w:val="clear" w:color="auto" w:fill="FFFFFF"/>
          <w:lang w:eastAsia="ru-RU"/>
        </w:rPr>
        <w:t>НЕВЕРОВ</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Общественная организация  на УСН «Доходы».</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Основной доход НКО Пожертвования  на уставную деятельность,  ведём коммерческую деятельность с небольшой выручкой.</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НКО являлась учредителем ООО до октября 2022 г. с долей 100%, в октябре   продали 75 % доли директору НКО, в связи с переходом ООО в следующем году на УСН.</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 xml:space="preserve">НКО предоставила </w:t>
      </w:r>
      <w:proofErr w:type="gramStart"/>
      <w:r w:rsidRPr="00363664">
        <w:rPr>
          <w:rFonts w:ascii="Times New Roman" w:eastAsia="Times New Roman" w:hAnsi="Times New Roman" w:cs="Times New Roman"/>
          <w:color w:val="0070C0"/>
          <w:sz w:val="36"/>
          <w:szCs w:val="36"/>
          <w:shd w:val="clear" w:color="auto" w:fill="FFFFFF"/>
          <w:lang w:eastAsia="ru-RU"/>
        </w:rPr>
        <w:t>процентный</w:t>
      </w:r>
      <w:proofErr w:type="gramEnd"/>
      <w:r w:rsidRPr="00363664">
        <w:rPr>
          <w:rFonts w:ascii="Times New Roman" w:eastAsia="Times New Roman" w:hAnsi="Times New Roman" w:cs="Times New Roman"/>
          <w:color w:val="0070C0"/>
          <w:sz w:val="36"/>
          <w:szCs w:val="36"/>
          <w:shd w:val="clear" w:color="auto" w:fill="FFFFFF"/>
          <w:lang w:eastAsia="ru-RU"/>
        </w:rPr>
        <w:t xml:space="preserve"> </w:t>
      </w:r>
      <w:proofErr w:type="spellStart"/>
      <w:r w:rsidRPr="00363664">
        <w:rPr>
          <w:rFonts w:ascii="Times New Roman" w:eastAsia="Times New Roman" w:hAnsi="Times New Roman" w:cs="Times New Roman"/>
          <w:color w:val="0070C0"/>
          <w:sz w:val="36"/>
          <w:szCs w:val="36"/>
          <w:shd w:val="clear" w:color="auto" w:fill="FFFFFF"/>
          <w:lang w:eastAsia="ru-RU"/>
        </w:rPr>
        <w:t>займ</w:t>
      </w:r>
      <w:proofErr w:type="spellEnd"/>
      <w:r w:rsidRPr="00363664">
        <w:rPr>
          <w:rFonts w:ascii="Times New Roman" w:eastAsia="Times New Roman" w:hAnsi="Times New Roman" w:cs="Times New Roman"/>
          <w:color w:val="0070C0"/>
          <w:sz w:val="36"/>
          <w:szCs w:val="36"/>
          <w:shd w:val="clear" w:color="auto" w:fill="FFFFFF"/>
          <w:lang w:eastAsia="ru-RU"/>
        </w:rPr>
        <w:t xml:space="preserve"> ООО, </w:t>
      </w:r>
      <w:r w:rsidRPr="00363664">
        <w:rPr>
          <w:rFonts w:ascii="Times New Roman" w:eastAsia="Times New Roman" w:hAnsi="Times New Roman" w:cs="Times New Roman"/>
          <w:b/>
          <w:color w:val="FF0000"/>
          <w:sz w:val="36"/>
          <w:szCs w:val="36"/>
          <w:shd w:val="clear" w:color="auto" w:fill="FFFFFF"/>
          <w:lang w:eastAsia="ru-RU"/>
        </w:rPr>
        <w:t>средства пошли из пожертвований</w:t>
      </w:r>
      <w:r w:rsidRPr="00363664">
        <w:rPr>
          <w:rFonts w:ascii="Times New Roman" w:eastAsia="Times New Roman" w:hAnsi="Times New Roman" w:cs="Times New Roman"/>
          <w:color w:val="0070C0"/>
          <w:sz w:val="36"/>
          <w:szCs w:val="36"/>
          <w:shd w:val="clear" w:color="auto" w:fill="FFFFFF"/>
          <w:lang w:eastAsia="ru-RU"/>
        </w:rPr>
        <w:t>. На данный момент ясно, чт</w:t>
      </w:r>
      <w:proofErr w:type="gramStart"/>
      <w:r w:rsidRPr="00363664">
        <w:rPr>
          <w:rFonts w:ascii="Times New Roman" w:eastAsia="Times New Roman" w:hAnsi="Times New Roman" w:cs="Times New Roman"/>
          <w:color w:val="0070C0"/>
          <w:sz w:val="36"/>
          <w:szCs w:val="36"/>
          <w:shd w:val="clear" w:color="auto" w:fill="FFFFFF"/>
          <w:lang w:eastAsia="ru-RU"/>
        </w:rPr>
        <w:t>о ООО</w:t>
      </w:r>
      <w:proofErr w:type="gramEnd"/>
      <w:r w:rsidRPr="00363664">
        <w:rPr>
          <w:rFonts w:ascii="Times New Roman" w:eastAsia="Times New Roman" w:hAnsi="Times New Roman" w:cs="Times New Roman"/>
          <w:color w:val="0070C0"/>
          <w:sz w:val="36"/>
          <w:szCs w:val="36"/>
          <w:shd w:val="clear" w:color="auto" w:fill="FFFFFF"/>
          <w:lang w:eastAsia="ru-RU"/>
        </w:rPr>
        <w:t xml:space="preserve"> не сможет вернуть </w:t>
      </w:r>
      <w:proofErr w:type="spellStart"/>
      <w:r w:rsidRPr="00363664">
        <w:rPr>
          <w:rFonts w:ascii="Times New Roman" w:eastAsia="Times New Roman" w:hAnsi="Times New Roman" w:cs="Times New Roman"/>
          <w:color w:val="0070C0"/>
          <w:sz w:val="36"/>
          <w:szCs w:val="36"/>
          <w:shd w:val="clear" w:color="auto" w:fill="FFFFFF"/>
          <w:lang w:eastAsia="ru-RU"/>
        </w:rPr>
        <w:t>займ</w:t>
      </w:r>
      <w:proofErr w:type="spellEnd"/>
      <w:r w:rsidRPr="00363664">
        <w:rPr>
          <w:rFonts w:ascii="Times New Roman" w:eastAsia="Times New Roman" w:hAnsi="Times New Roman" w:cs="Times New Roman"/>
          <w:color w:val="0070C0"/>
          <w:sz w:val="36"/>
          <w:szCs w:val="36"/>
          <w:shd w:val="clear" w:color="auto" w:fill="FFFFFF"/>
          <w:lang w:eastAsia="ru-RU"/>
        </w:rPr>
        <w:t>, т.к. сумма большая  + проценты.</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Руководство приняло решение закрыть задолженность по займу и процентам в этом году.</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Есть варианты:</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 xml:space="preserve">1. Внести вклад в имущество ООО денежными средствами, </w:t>
      </w:r>
      <w:proofErr w:type="gramStart"/>
      <w:r w:rsidRPr="00363664">
        <w:rPr>
          <w:rFonts w:ascii="Times New Roman" w:eastAsia="Times New Roman" w:hAnsi="Times New Roman" w:cs="Times New Roman"/>
          <w:color w:val="0070C0"/>
          <w:sz w:val="36"/>
          <w:szCs w:val="36"/>
          <w:shd w:val="clear" w:color="auto" w:fill="FFFFFF"/>
          <w:lang w:eastAsia="ru-RU"/>
        </w:rPr>
        <w:t>но</w:t>
      </w:r>
      <w:proofErr w:type="gramEnd"/>
      <w:r w:rsidRPr="00363664">
        <w:rPr>
          <w:rFonts w:ascii="Times New Roman" w:eastAsia="Times New Roman" w:hAnsi="Times New Roman" w:cs="Times New Roman"/>
          <w:color w:val="0070C0"/>
          <w:sz w:val="36"/>
          <w:szCs w:val="36"/>
          <w:shd w:val="clear" w:color="auto" w:fill="FFFFFF"/>
          <w:lang w:eastAsia="ru-RU"/>
        </w:rPr>
        <w:t xml:space="preserve"> не перечисляя, а провести Актом взаимозачёта и так несколько раз с промежутком примерно в две недели.</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lastRenderedPageBreak/>
        <w:t>В Уставах НК</w:t>
      </w:r>
      <w:proofErr w:type="gramStart"/>
      <w:r w:rsidRPr="00363664">
        <w:rPr>
          <w:rFonts w:ascii="Times New Roman" w:eastAsia="Times New Roman" w:hAnsi="Times New Roman" w:cs="Times New Roman"/>
          <w:color w:val="0070C0"/>
          <w:sz w:val="36"/>
          <w:szCs w:val="36"/>
          <w:shd w:val="clear" w:color="auto" w:fill="FFFFFF"/>
          <w:lang w:eastAsia="ru-RU"/>
        </w:rPr>
        <w:t>О и ООО</w:t>
      </w:r>
      <w:proofErr w:type="gramEnd"/>
      <w:r w:rsidRPr="00363664">
        <w:rPr>
          <w:rFonts w:ascii="Times New Roman" w:eastAsia="Times New Roman" w:hAnsi="Times New Roman" w:cs="Times New Roman"/>
          <w:color w:val="0070C0"/>
          <w:sz w:val="36"/>
          <w:szCs w:val="36"/>
          <w:shd w:val="clear" w:color="auto" w:fill="FFFFFF"/>
          <w:lang w:eastAsia="ru-RU"/>
        </w:rPr>
        <w:t xml:space="preserve"> не прописано, что участники могут вносить вклады в имущество общества и нет оговорок в каких пропорциях все участники участвуют во вкладах.</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2. Договор прощение займа. Заключить договор или соглашение.</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 xml:space="preserve">Какой предпочтительнее из этих вариантов и возникает ли доход у НКО, </w:t>
      </w:r>
      <w:proofErr w:type="gramStart"/>
      <w:r w:rsidRPr="00363664">
        <w:rPr>
          <w:rFonts w:ascii="Times New Roman" w:eastAsia="Times New Roman" w:hAnsi="Times New Roman" w:cs="Times New Roman"/>
          <w:color w:val="0070C0"/>
          <w:sz w:val="36"/>
          <w:szCs w:val="36"/>
          <w:shd w:val="clear" w:color="auto" w:fill="FFFFFF"/>
          <w:lang w:eastAsia="ru-RU"/>
        </w:rPr>
        <w:t>возможно</w:t>
      </w:r>
      <w:proofErr w:type="gramEnd"/>
      <w:r w:rsidRPr="00363664">
        <w:rPr>
          <w:rFonts w:ascii="Times New Roman" w:eastAsia="Times New Roman" w:hAnsi="Times New Roman" w:cs="Times New Roman"/>
          <w:color w:val="0070C0"/>
          <w:sz w:val="36"/>
          <w:szCs w:val="36"/>
          <w:shd w:val="clear" w:color="auto" w:fill="FFFFFF"/>
          <w:lang w:eastAsia="ru-RU"/>
        </w:rPr>
        <w:t xml:space="preserve"> есть еще какие-то варианты, где нет налоговых рисков?</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 xml:space="preserve">Просьба, </w:t>
      </w:r>
      <w:proofErr w:type="gramStart"/>
      <w:r w:rsidRPr="00363664">
        <w:rPr>
          <w:rFonts w:ascii="Times New Roman" w:eastAsia="Times New Roman" w:hAnsi="Times New Roman" w:cs="Times New Roman"/>
          <w:color w:val="0070C0"/>
          <w:sz w:val="36"/>
          <w:szCs w:val="36"/>
          <w:shd w:val="clear" w:color="auto" w:fill="FFFFFF"/>
          <w:lang w:eastAsia="ru-RU"/>
        </w:rPr>
        <w:t>пояснить</w:t>
      </w:r>
      <w:proofErr w:type="gramEnd"/>
      <w:r w:rsidRPr="00363664">
        <w:rPr>
          <w:rFonts w:ascii="Times New Roman" w:eastAsia="Times New Roman" w:hAnsi="Times New Roman" w:cs="Times New Roman"/>
          <w:color w:val="0070C0"/>
          <w:sz w:val="36"/>
          <w:szCs w:val="36"/>
          <w:shd w:val="clear" w:color="auto" w:fill="FFFFFF"/>
          <w:lang w:eastAsia="ru-RU"/>
        </w:rPr>
        <w:t xml:space="preserve"> как правильно документально оформить каждый вариант, какие проводки и в каких строках Баланса и в Отчете о целевом использовании средств отражать суммы?</w:t>
      </w:r>
    </w:p>
    <w:p w:rsidR="00363664" w:rsidRPr="00363664" w:rsidRDefault="00363664" w:rsidP="00363664">
      <w:pPr>
        <w:spacing w:after="0" w:line="240" w:lineRule="auto"/>
        <w:rPr>
          <w:rFonts w:ascii="Times New Roman" w:eastAsia="Times New Roman" w:hAnsi="Times New Roman" w:cs="Times New Roman"/>
          <w:sz w:val="24"/>
          <w:szCs w:val="24"/>
          <w:lang w:eastAsia="ru-RU"/>
        </w:rPr>
      </w:pPr>
    </w:p>
    <w:p w:rsidR="00D37229" w:rsidRPr="00D37229" w:rsidRDefault="00363664" w:rsidP="00D37229">
      <w:pPr>
        <w:shd w:val="clear" w:color="auto" w:fill="FFFFFF"/>
        <w:rPr>
          <w:rFonts w:ascii="Arial" w:eastAsia="Times New Roman" w:hAnsi="Arial" w:cs="Arial"/>
          <w:color w:val="000000"/>
          <w:sz w:val="24"/>
          <w:szCs w:val="24"/>
          <w:lang w:eastAsia="ru-RU"/>
        </w:rPr>
      </w:pPr>
      <w:r w:rsidRPr="00363664">
        <w:rPr>
          <w:rFonts w:ascii="Times New Roman" w:eastAsia="Times New Roman" w:hAnsi="Times New Roman" w:cs="Times New Roman"/>
          <w:sz w:val="24"/>
          <w:szCs w:val="24"/>
          <w:lang w:eastAsia="ru-RU"/>
        </w:rPr>
        <w:t> </w:t>
      </w:r>
      <w:r w:rsidR="00D37229" w:rsidRPr="00D37229">
        <w:rPr>
          <w:rFonts w:ascii="Arial" w:eastAsia="Times New Roman" w:hAnsi="Arial" w:cs="Arial"/>
          <w:color w:val="000000"/>
          <w:sz w:val="24"/>
          <w:szCs w:val="24"/>
          <w:lang w:eastAsia="ru-RU"/>
        </w:rPr>
        <w:t>Прежде всего следует установить, может ли данное НКО вообще учреждать иное лицо. Это должно быть напрямую указано в уставе.</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Arial" w:eastAsia="Times New Roman" w:hAnsi="Arial" w:cs="Arial"/>
          <w:color w:val="000000"/>
          <w:sz w:val="24"/>
          <w:szCs w:val="24"/>
          <w:lang w:eastAsia="ru-RU"/>
        </w:rPr>
        <w:br/>
      </w:r>
      <w:r w:rsidRPr="00D37229">
        <w:rPr>
          <w:rFonts w:ascii="Arial" w:eastAsia="Times New Roman" w:hAnsi="Arial" w:cs="Arial"/>
          <w:color w:val="000000"/>
          <w:sz w:val="24"/>
          <w:szCs w:val="24"/>
          <w:shd w:val="clear" w:color="auto" w:fill="FFFFFF"/>
          <w:lang w:eastAsia="ru-RU"/>
        </w:rPr>
        <w:t xml:space="preserve">Согласно </w:t>
      </w:r>
      <w:proofErr w:type="gramStart"/>
      <w:r w:rsidRPr="00D37229">
        <w:rPr>
          <w:rFonts w:ascii="Arial" w:eastAsia="Times New Roman" w:hAnsi="Arial" w:cs="Arial"/>
          <w:color w:val="000000"/>
          <w:sz w:val="24"/>
          <w:szCs w:val="24"/>
          <w:shd w:val="clear" w:color="auto" w:fill="FFFFFF"/>
          <w:lang w:eastAsia="ru-RU"/>
        </w:rPr>
        <w:t>ч</w:t>
      </w:r>
      <w:proofErr w:type="gramEnd"/>
      <w:r w:rsidRPr="00D37229">
        <w:rPr>
          <w:rFonts w:ascii="Arial" w:eastAsia="Times New Roman" w:hAnsi="Arial" w:cs="Arial"/>
          <w:color w:val="000000"/>
          <w:sz w:val="24"/>
          <w:szCs w:val="24"/>
          <w:shd w:val="clear" w:color="auto" w:fill="FFFFFF"/>
          <w:lang w:eastAsia="ru-RU"/>
        </w:rPr>
        <w:t>.2 ст.24 Федерального закона "О некоммерческих организациях" от 12.01.1996 N 7-ФЗ</w:t>
      </w:r>
    </w:p>
    <w:p w:rsidR="00D37229" w:rsidRPr="00D37229" w:rsidRDefault="00D37229" w:rsidP="00D37229">
      <w:pPr>
        <w:shd w:val="clear" w:color="auto" w:fill="FFFFFF"/>
        <w:spacing w:after="0" w:line="240" w:lineRule="auto"/>
        <w:rPr>
          <w:rFonts w:ascii="Arial" w:eastAsia="Times New Roman" w:hAnsi="Arial" w:cs="Arial"/>
          <w:color w:val="000000"/>
          <w:sz w:val="24"/>
          <w:szCs w:val="24"/>
          <w:lang w:eastAsia="ru-RU"/>
        </w:rPr>
      </w:pPr>
      <w:r w:rsidRPr="00D37229">
        <w:rPr>
          <w:rFonts w:ascii="Arial" w:eastAsia="Times New Roman" w:hAnsi="Arial" w:cs="Arial"/>
          <w:i/>
          <w:iCs/>
          <w:color w:val="000000"/>
          <w:sz w:val="24"/>
          <w:szCs w:val="24"/>
          <w:lang w:eastAsia="ru-RU"/>
        </w:rPr>
        <w:t xml:space="preserve">2. Некоммерческая организация может осуществлять предпринимательскую и иную приносящую доход деятельность лишь </w:t>
      </w:r>
      <w:r w:rsidRPr="00452E44">
        <w:rPr>
          <w:rFonts w:ascii="Arial" w:eastAsia="Times New Roman" w:hAnsi="Arial" w:cs="Arial"/>
          <w:i/>
          <w:iCs/>
          <w:color w:val="000000"/>
          <w:sz w:val="24"/>
          <w:szCs w:val="24"/>
          <w:highlight w:val="yellow"/>
          <w:lang w:eastAsia="ru-RU"/>
        </w:rPr>
        <w:t>постольку, поскольку это служит достижению целей, ради которых она создана</w:t>
      </w:r>
      <w:r w:rsidRPr="00D37229">
        <w:rPr>
          <w:rFonts w:ascii="Arial" w:eastAsia="Times New Roman" w:hAnsi="Arial" w:cs="Arial"/>
          <w:i/>
          <w:iCs/>
          <w:color w:val="000000"/>
          <w:sz w:val="24"/>
          <w:szCs w:val="24"/>
          <w:lang w:eastAsia="ru-RU"/>
        </w:rPr>
        <w:t xml:space="preserve"> и соответствует указанным целям, при условии, что такая деятельность </w:t>
      </w:r>
      <w:r w:rsidRPr="00452E44">
        <w:rPr>
          <w:rFonts w:ascii="Arial" w:eastAsia="Times New Roman" w:hAnsi="Arial" w:cs="Arial"/>
          <w:i/>
          <w:iCs/>
          <w:color w:val="000000"/>
          <w:sz w:val="24"/>
          <w:szCs w:val="24"/>
          <w:highlight w:val="yellow"/>
          <w:lang w:eastAsia="ru-RU"/>
        </w:rPr>
        <w:t>указана в его учредительных документах</w:t>
      </w:r>
      <w:r w:rsidRPr="00D37229">
        <w:rPr>
          <w:rFonts w:ascii="Arial" w:eastAsia="Times New Roman" w:hAnsi="Arial" w:cs="Arial"/>
          <w:i/>
          <w:iCs/>
          <w:color w:val="000000"/>
          <w:sz w:val="24"/>
          <w:szCs w:val="24"/>
          <w:lang w:eastAsia="ru-RU"/>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w:t>
      </w:r>
      <w:r w:rsidRPr="00D37229">
        <w:rPr>
          <w:rFonts w:ascii="Arial" w:eastAsia="Times New Roman" w:hAnsi="Arial" w:cs="Arial"/>
          <w:b/>
          <w:bCs/>
          <w:i/>
          <w:iCs/>
          <w:color w:val="000000"/>
          <w:sz w:val="24"/>
          <w:szCs w:val="24"/>
          <w:u w:val="single"/>
          <w:lang w:eastAsia="ru-RU"/>
        </w:rPr>
        <w:t>участие в хозяйственных обществах</w:t>
      </w:r>
      <w:r w:rsidRPr="00D37229">
        <w:rPr>
          <w:rFonts w:ascii="Arial" w:eastAsia="Times New Roman" w:hAnsi="Arial" w:cs="Arial"/>
          <w:i/>
          <w:iCs/>
          <w:color w:val="000000"/>
          <w:sz w:val="24"/>
          <w:szCs w:val="24"/>
          <w:lang w:eastAsia="ru-RU"/>
        </w:rPr>
        <w:t> и участие в товариществах на вере в качестве вкладчика.</w:t>
      </w:r>
    </w:p>
    <w:p w:rsidR="00D37229" w:rsidRPr="00D37229" w:rsidRDefault="00D37229" w:rsidP="00D37229">
      <w:pPr>
        <w:shd w:val="clear" w:color="auto" w:fill="FFFFFF"/>
        <w:spacing w:after="0" w:line="240" w:lineRule="auto"/>
        <w:rPr>
          <w:rFonts w:ascii="Arial" w:eastAsia="Times New Roman" w:hAnsi="Arial" w:cs="Arial"/>
          <w:color w:val="000000"/>
          <w:sz w:val="24"/>
          <w:szCs w:val="24"/>
          <w:lang w:eastAsia="ru-RU"/>
        </w:rPr>
      </w:pPr>
      <w:r w:rsidRPr="00D37229">
        <w:rPr>
          <w:rFonts w:ascii="Arial" w:eastAsia="Times New Roman" w:hAnsi="Arial" w:cs="Arial"/>
          <w:color w:val="000000"/>
          <w:sz w:val="24"/>
          <w:szCs w:val="24"/>
          <w:lang w:eastAsia="ru-RU"/>
        </w:rPr>
        <w:t> </w:t>
      </w:r>
    </w:p>
    <w:p w:rsidR="00D37229" w:rsidRPr="00D37229" w:rsidRDefault="00D37229" w:rsidP="00D37229">
      <w:pPr>
        <w:shd w:val="clear" w:color="auto" w:fill="FFFFFF"/>
        <w:spacing w:after="0" w:line="240" w:lineRule="auto"/>
        <w:rPr>
          <w:rFonts w:ascii="Arial" w:eastAsia="Times New Roman" w:hAnsi="Arial" w:cs="Arial"/>
          <w:color w:val="000000"/>
          <w:sz w:val="24"/>
          <w:szCs w:val="24"/>
          <w:lang w:eastAsia="ru-RU"/>
        </w:rPr>
      </w:pPr>
      <w:r w:rsidRPr="00D37229">
        <w:rPr>
          <w:rFonts w:ascii="Arial" w:eastAsia="Times New Roman" w:hAnsi="Arial" w:cs="Arial"/>
          <w:color w:val="000000"/>
          <w:sz w:val="24"/>
          <w:szCs w:val="24"/>
          <w:lang w:eastAsia="ru-RU"/>
        </w:rPr>
        <w:t xml:space="preserve">То есть, «участие в хозяйственных обществах» является, с точки зрения закона, «иной приносящей доход деятельностью», которая может осуществляться </w:t>
      </w:r>
      <w:proofErr w:type="gramStart"/>
      <w:r w:rsidRPr="00D37229">
        <w:rPr>
          <w:rFonts w:ascii="Arial" w:eastAsia="Times New Roman" w:hAnsi="Arial" w:cs="Arial"/>
          <w:color w:val="000000"/>
          <w:sz w:val="24"/>
          <w:szCs w:val="24"/>
          <w:lang w:eastAsia="ru-RU"/>
        </w:rPr>
        <w:t>лишь</w:t>
      </w:r>
      <w:proofErr w:type="gramEnd"/>
      <w:r w:rsidRPr="00D37229">
        <w:rPr>
          <w:rFonts w:ascii="Arial" w:eastAsia="Times New Roman" w:hAnsi="Arial" w:cs="Arial"/>
          <w:color w:val="000000"/>
          <w:sz w:val="24"/>
          <w:szCs w:val="24"/>
          <w:lang w:eastAsia="ru-RU"/>
        </w:rPr>
        <w:t xml:space="preserve"> если 1) она служит достижению целей НКО, и 2) указана в учредительных документах. Поэтому нужно смотреть устав – есть ли там возможность НКО учреждать другие хозяйственные общества. Кроме того, нужно смотреть на уставную цель этого учреждаемого лица – насколько она соответствует целям самого НКО.</w:t>
      </w:r>
    </w:p>
    <w:p w:rsidR="00363664" w:rsidRDefault="00363664"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37229" w:rsidRDefault="00D37229"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37229" w:rsidRDefault="00D37229"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 доли директору самого НКО так же вызывает вопрос</w:t>
      </w:r>
    </w:p>
    <w:p w:rsidR="00D37229" w:rsidRDefault="00452E44"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7-ФЗ</w:t>
      </w:r>
    </w:p>
    <w:p w:rsidR="00D37229" w:rsidRPr="00D37229" w:rsidRDefault="00D37229" w:rsidP="00D37229">
      <w:pPr>
        <w:shd w:val="clear" w:color="auto" w:fill="FFFFFF"/>
        <w:spacing w:after="0" w:line="189" w:lineRule="atLeast"/>
        <w:outlineLvl w:val="1"/>
        <w:rPr>
          <w:rFonts w:ascii="Arial" w:eastAsia="Times New Roman" w:hAnsi="Arial" w:cs="Arial"/>
          <w:b/>
          <w:bCs/>
          <w:color w:val="000000"/>
          <w:kern w:val="36"/>
          <w:sz w:val="24"/>
          <w:szCs w:val="24"/>
          <w:lang w:eastAsia="ru-RU"/>
        </w:rPr>
      </w:pPr>
      <w:r w:rsidRPr="00D37229">
        <w:rPr>
          <w:rFonts w:ascii="Arial" w:eastAsia="Times New Roman" w:hAnsi="Arial" w:cs="Arial"/>
          <w:b/>
          <w:bCs/>
          <w:color w:val="000000"/>
          <w:kern w:val="36"/>
          <w:sz w:val="24"/>
          <w:szCs w:val="24"/>
          <w:lang w:eastAsia="ru-RU"/>
        </w:rPr>
        <w:t>Статья 27. Конфликт интересов</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 xml:space="preserve">1. </w:t>
      </w:r>
      <w:proofErr w:type="gramStart"/>
      <w:r w:rsidRPr="00D37229">
        <w:rPr>
          <w:rFonts w:ascii="Times New Roman" w:eastAsia="Times New Roman" w:hAnsi="Times New Roman" w:cs="Times New Roman"/>
          <w:sz w:val="24"/>
          <w:szCs w:val="24"/>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w:t>
      </w:r>
      <w:r w:rsidRPr="00D37229">
        <w:rPr>
          <w:rFonts w:ascii="Times New Roman" w:eastAsia="Times New Roman" w:hAnsi="Times New Roman" w:cs="Times New Roman"/>
          <w:sz w:val="24"/>
          <w:szCs w:val="24"/>
          <w:highlight w:val="yellow"/>
          <w:lang w:eastAsia="ru-RU"/>
        </w:rPr>
        <w:t>руководитель</w:t>
      </w:r>
      <w:r w:rsidRPr="00D37229">
        <w:rPr>
          <w:rFonts w:ascii="Times New Roman" w:eastAsia="Times New Roman" w:hAnsi="Times New Roman" w:cs="Times New Roman"/>
          <w:sz w:val="24"/>
          <w:szCs w:val="24"/>
          <w:lang w:eastAsia="ru-RU"/>
        </w:rPr>
        <w:t xml:space="preserve"> (заместитель руководителя) некоммерческой организации, а также лицо, </w:t>
      </w:r>
      <w:r w:rsidRPr="00D37229">
        <w:rPr>
          <w:rFonts w:ascii="Times New Roman" w:eastAsia="Times New Roman" w:hAnsi="Times New Roman" w:cs="Times New Roman"/>
          <w:sz w:val="24"/>
          <w:szCs w:val="24"/>
          <w:lang w:eastAsia="ru-RU"/>
        </w:rPr>
        <w:lastRenderedPageBreak/>
        <w:t>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D37229">
        <w:rPr>
          <w:rFonts w:ascii="Times New Roman" w:eastAsia="Times New Roman" w:hAnsi="Times New Roman" w:cs="Times New Roman"/>
          <w:sz w:val="24"/>
          <w:szCs w:val="24"/>
          <w:lang w:eastAsia="ru-RU"/>
        </w:rPr>
        <w:t xml:space="preserve"> </w:t>
      </w:r>
      <w:proofErr w:type="gramStart"/>
      <w:r w:rsidRPr="00D37229">
        <w:rPr>
          <w:rFonts w:ascii="Times New Roman" w:eastAsia="Times New Roman" w:hAnsi="Times New Roman" w:cs="Times New Roman"/>
          <w:sz w:val="24"/>
          <w:szCs w:val="24"/>
          <w:lang w:eastAsia="ru-RU"/>
        </w:rPr>
        <w:t>отношениях</w:t>
      </w:r>
      <w:proofErr w:type="gramEnd"/>
      <w:r w:rsidRPr="00D37229">
        <w:rPr>
          <w:rFonts w:ascii="Times New Roman" w:eastAsia="Times New Roman" w:hAnsi="Times New Roman" w:cs="Times New Roman"/>
          <w:sz w:val="24"/>
          <w:szCs w:val="24"/>
          <w:lang w:eastAsia="ru-RU"/>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w:t>
      </w:r>
      <w:r w:rsidRPr="00D37229">
        <w:rPr>
          <w:rFonts w:ascii="Times New Roman" w:eastAsia="Times New Roman" w:hAnsi="Times New Roman" w:cs="Times New Roman"/>
          <w:sz w:val="24"/>
          <w:szCs w:val="24"/>
          <w:highlight w:val="yellow"/>
          <w:lang w:eastAsia="ru-RU"/>
        </w:rPr>
        <w:t>могут извлекать выгоду из пользования, распоряжения имуществом некоммерческой организации</w:t>
      </w:r>
      <w:r w:rsidRPr="00D37229">
        <w:rPr>
          <w:rFonts w:ascii="Times New Roman" w:eastAsia="Times New Roman" w:hAnsi="Times New Roman" w:cs="Times New Roman"/>
          <w:sz w:val="24"/>
          <w:szCs w:val="24"/>
          <w:lang w:eastAsia="ru-RU"/>
        </w:rPr>
        <w:t>.</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 xml:space="preserve">2. </w:t>
      </w:r>
      <w:proofErr w:type="gramStart"/>
      <w:r w:rsidRPr="00D37229">
        <w:rPr>
          <w:rFonts w:ascii="Times New Roman" w:eastAsia="Times New Roman" w:hAnsi="Times New Roman" w:cs="Times New Roman"/>
          <w:sz w:val="24"/>
          <w:szCs w:val="24"/>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D37229" w:rsidRPr="00D37229" w:rsidRDefault="00D37229" w:rsidP="00D37229">
      <w:pPr>
        <w:spacing w:after="0" w:line="240" w:lineRule="auto"/>
        <w:rPr>
          <w:rFonts w:ascii="Times New Roman" w:eastAsia="Times New Roman" w:hAnsi="Times New Roman" w:cs="Times New Roman"/>
          <w:sz w:val="24"/>
          <w:szCs w:val="24"/>
          <w:lang w:eastAsia="ru-RU"/>
        </w:rPr>
      </w:pPr>
      <w:proofErr w:type="gramStart"/>
      <w:r w:rsidRPr="00D37229">
        <w:rPr>
          <w:rFonts w:ascii="Times New Roman" w:eastAsia="Times New Roman" w:hAnsi="Times New Roman" w:cs="Times New Roman"/>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3. В случае</w:t>
      </w:r>
      <w:proofErr w:type="gramStart"/>
      <w:r w:rsidRPr="00D37229">
        <w:rPr>
          <w:rFonts w:ascii="Times New Roman" w:eastAsia="Times New Roman" w:hAnsi="Times New Roman" w:cs="Times New Roman"/>
          <w:sz w:val="24"/>
          <w:szCs w:val="24"/>
          <w:lang w:eastAsia="ru-RU"/>
        </w:rPr>
        <w:t>,</w:t>
      </w:r>
      <w:proofErr w:type="gramEnd"/>
      <w:r w:rsidRPr="00D37229">
        <w:rPr>
          <w:rFonts w:ascii="Times New Roman" w:eastAsia="Times New Roman" w:hAnsi="Times New Roman" w:cs="Times New Roman"/>
          <w:sz w:val="24"/>
          <w:szCs w:val="24"/>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highlight w:val="yellow"/>
          <w:lang w:eastAsia="ru-RU"/>
        </w:rPr>
        <w:t>сделка должна быть </w:t>
      </w:r>
      <w:hyperlink r:id="rId30" w:anchor="dst100125" w:history="1">
        <w:r w:rsidRPr="00452E44">
          <w:rPr>
            <w:rFonts w:ascii="Times New Roman" w:eastAsia="Times New Roman" w:hAnsi="Times New Roman" w:cs="Times New Roman"/>
            <w:color w:val="1A0DAB"/>
            <w:sz w:val="24"/>
            <w:szCs w:val="24"/>
            <w:highlight w:val="yellow"/>
            <w:u w:val="single"/>
            <w:lang w:eastAsia="ru-RU"/>
          </w:rPr>
          <w:t>одобрена</w:t>
        </w:r>
      </w:hyperlink>
      <w:r w:rsidRPr="00D37229">
        <w:rPr>
          <w:rFonts w:ascii="Times New Roman" w:eastAsia="Times New Roman" w:hAnsi="Times New Roman" w:cs="Times New Roman"/>
          <w:sz w:val="24"/>
          <w:szCs w:val="24"/>
          <w:highlight w:val="yellow"/>
          <w:lang w:eastAsia="ru-RU"/>
        </w:rPr>
        <w:t> органом управления некоммерческой организацией или органом надзора за ее деятельностью</w:t>
      </w:r>
      <w:r w:rsidRPr="00D37229">
        <w:rPr>
          <w:rFonts w:ascii="Times New Roman" w:eastAsia="Times New Roman" w:hAnsi="Times New Roman" w:cs="Times New Roman"/>
          <w:sz w:val="24"/>
          <w:szCs w:val="24"/>
          <w:lang w:eastAsia="ru-RU"/>
        </w:rPr>
        <w:t xml:space="preserve"> (в бюджетном учреждении - соответствующим органом, осуществляющим функции и полномочия учредителя).</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D37229" w:rsidRPr="00D37229" w:rsidRDefault="00D37229" w:rsidP="00D37229">
      <w:pPr>
        <w:spacing w:after="0" w:line="240" w:lineRule="auto"/>
        <w:rPr>
          <w:rFonts w:ascii="Times New Roman" w:eastAsia="Times New Roman" w:hAnsi="Times New Roman" w:cs="Times New Roman"/>
          <w:sz w:val="24"/>
          <w:szCs w:val="24"/>
          <w:lang w:eastAsia="ru-RU"/>
        </w:rPr>
      </w:pPr>
      <w:r w:rsidRPr="00D37229">
        <w:rPr>
          <w:rFonts w:ascii="Times New Roman" w:eastAsia="Times New Roman" w:hAnsi="Times New Roman" w:cs="Times New Roman"/>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37229" w:rsidRPr="00452E44" w:rsidRDefault="00D37229"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r w:rsidRPr="00452E44">
        <w:rPr>
          <w:rFonts w:ascii="Arial" w:hAnsi="Arial" w:cs="Arial"/>
          <w:color w:val="333333"/>
          <w:sz w:val="24"/>
          <w:szCs w:val="24"/>
          <w:shd w:val="clear" w:color="auto" w:fill="FFFFFF"/>
        </w:rPr>
        <w:t xml:space="preserve">Уставный капитал ООО может быть увеличен </w:t>
      </w:r>
      <w:r>
        <w:rPr>
          <w:rFonts w:ascii="Arial" w:hAnsi="Arial" w:cs="Arial"/>
          <w:color w:val="333333"/>
          <w:sz w:val="24"/>
          <w:szCs w:val="24"/>
          <w:shd w:val="clear" w:color="auto" w:fill="FFFFFF"/>
        </w:rPr>
        <w:t xml:space="preserve"> </w:t>
      </w:r>
      <w:r w:rsidRPr="00452E44">
        <w:rPr>
          <w:rFonts w:ascii="Arial" w:hAnsi="Arial" w:cs="Arial"/>
          <w:color w:val="333333"/>
          <w:sz w:val="24"/>
          <w:szCs w:val="24"/>
          <w:shd w:val="clear" w:color="auto" w:fill="FFFFFF"/>
        </w:rPr>
        <w:t xml:space="preserve"> за счет дополнительного вклада его участника. Возможность увеличения уставного капитала по инициативе участника общества, желающего внести дополнительный вклад в уставный капитал, предусмотрена п. 2 ст. 19 Закона об ООО. В соответствии с этой нормой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такое решение принимается всеми участниками общества единогласно. </w:t>
      </w:r>
      <w:proofErr w:type="gramStart"/>
      <w:r w:rsidRPr="00452E44">
        <w:rPr>
          <w:rFonts w:ascii="Arial" w:hAnsi="Arial" w:cs="Arial"/>
          <w:color w:val="333333"/>
          <w:sz w:val="24"/>
          <w:szCs w:val="24"/>
          <w:shd w:val="clear" w:color="auto" w:fill="FFFFFF"/>
        </w:rPr>
        <w:t xml:space="preserve">Одновременно с таким решением общее собрание участников ООО принимает решение о внесении в устав общества изменений в связи с увеличением уставного капитала, а также решение об увеличении номинальной стоимости доли участника общества или </w:t>
      </w:r>
      <w:r w:rsidRPr="00452E44">
        <w:rPr>
          <w:rFonts w:ascii="Arial" w:hAnsi="Arial" w:cs="Arial"/>
          <w:color w:val="333333"/>
          <w:sz w:val="24"/>
          <w:szCs w:val="24"/>
          <w:shd w:val="clear" w:color="auto" w:fill="FFFFFF"/>
        </w:rPr>
        <w:lastRenderedPageBreak/>
        <w:t>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w:t>
      </w:r>
      <w:proofErr w:type="gramEnd"/>
      <w:r w:rsidRPr="00452E44">
        <w:rPr>
          <w:rFonts w:ascii="Arial" w:hAnsi="Arial" w:cs="Arial"/>
          <w:color w:val="333333"/>
          <w:sz w:val="24"/>
          <w:szCs w:val="24"/>
          <w:shd w:val="clear" w:color="auto" w:fill="FFFFFF"/>
        </w:rPr>
        <w:t xml:space="preserve">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w:t>
      </w: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r w:rsidRPr="00452E44">
        <w:rPr>
          <w:rFonts w:ascii="Arial" w:hAnsi="Arial" w:cs="Arial"/>
          <w:color w:val="333333"/>
          <w:sz w:val="24"/>
          <w:szCs w:val="24"/>
          <w:highlight w:val="yellow"/>
          <w:shd w:val="clear" w:color="auto" w:fill="FFFFFF"/>
        </w:rPr>
        <w:t>Пунктом 4 ст. 19 Закона об ООО предусмотрено, что по решению общего собрания участников общества, принятому всеми участниками единогласно, участник</w:t>
      </w:r>
      <w:proofErr w:type="gramStart"/>
      <w:r w:rsidRPr="00452E44">
        <w:rPr>
          <w:rFonts w:ascii="Arial" w:hAnsi="Arial" w:cs="Arial"/>
          <w:color w:val="333333"/>
          <w:sz w:val="24"/>
          <w:szCs w:val="24"/>
          <w:highlight w:val="yellow"/>
          <w:shd w:val="clear" w:color="auto" w:fill="FFFFFF"/>
        </w:rPr>
        <w:t>и ООО</w:t>
      </w:r>
      <w:proofErr w:type="gramEnd"/>
      <w:r w:rsidRPr="00452E44">
        <w:rPr>
          <w:rFonts w:ascii="Arial" w:hAnsi="Arial" w:cs="Arial"/>
          <w:color w:val="333333"/>
          <w:sz w:val="24"/>
          <w:szCs w:val="24"/>
          <w:highlight w:val="yellow"/>
          <w:shd w:val="clear" w:color="auto" w:fill="FFFFFF"/>
        </w:rPr>
        <w:t xml:space="preserve"> в счет внесения ими дополнительных вкладов и (или) третьи лица в счет внесения ими вкладов вправе зачесть </w:t>
      </w:r>
      <w:r w:rsidRPr="00452E44">
        <w:rPr>
          <w:rFonts w:ascii="Arial" w:hAnsi="Arial" w:cs="Arial"/>
          <w:color w:val="333333"/>
          <w:sz w:val="24"/>
          <w:szCs w:val="24"/>
          <w:highlight w:val="yellow"/>
          <w:shd w:val="clear" w:color="auto" w:fill="FFFFFF"/>
        </w:rPr>
        <w:softHyphen/>
        <w:t>денежные требования к обществу.</w:t>
      </w:r>
      <w:r w:rsidRPr="00452E44">
        <w:rPr>
          <w:rFonts w:ascii="Arial" w:hAnsi="Arial" w:cs="Arial"/>
          <w:color w:val="333333"/>
          <w:sz w:val="24"/>
          <w:szCs w:val="24"/>
          <w:shd w:val="clear" w:color="auto" w:fill="FFFFFF"/>
        </w:rPr>
        <w:t xml:space="preserve"> Требование участника к обществу о возврате суммы денежного займа, вытекающее из договора займа (п. 1 ст. 807, п. 1 ст. 810 ГК РФ), является денежным требованием, которое, поскольку из закона не следует иное, может быть зачтено в счет внесения таким участником дополнительного вклада в уставный капитал (постановление</w:t>
      </w:r>
      <w:proofErr w:type="gramStart"/>
      <w:r w:rsidRPr="00452E44">
        <w:rPr>
          <w:rFonts w:ascii="Arial" w:hAnsi="Arial" w:cs="Arial"/>
          <w:color w:val="333333"/>
          <w:sz w:val="24"/>
          <w:szCs w:val="24"/>
          <w:shd w:val="clear" w:color="auto" w:fill="FFFFFF"/>
        </w:rPr>
        <w:t xml:space="preserve"> В</w:t>
      </w:r>
      <w:proofErr w:type="gramEnd"/>
      <w:r w:rsidRPr="00452E44">
        <w:rPr>
          <w:rFonts w:ascii="Arial" w:hAnsi="Arial" w:cs="Arial"/>
          <w:color w:val="333333"/>
          <w:sz w:val="24"/>
          <w:szCs w:val="24"/>
          <w:shd w:val="clear" w:color="auto" w:fill="FFFFFF"/>
        </w:rPr>
        <w:t xml:space="preserve">торого арбитражного апелляционного суда от 23.05.2012 № 02АП-2157/12). Такой зачет, как следует из вышеизложенного, осуществляется на основании решения общего собрания участников или, при наличии в обществе одного участника, на основании решения единственного участника этого общества (ст. 39 Закона об ООО). </w:t>
      </w: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r w:rsidRPr="00452E44">
        <w:rPr>
          <w:rFonts w:ascii="Arial" w:hAnsi="Arial" w:cs="Arial"/>
          <w:color w:val="333333"/>
          <w:sz w:val="24"/>
          <w:szCs w:val="24"/>
          <w:shd w:val="clear" w:color="auto" w:fill="FFFFFF"/>
        </w:rPr>
        <w:t xml:space="preserve">По общему правилу допускается прекращение обязательства зачетом встречного однородного требования, срок которого наступил либо срок которого не указан или определен моментом востребования. Зачет же встречного однородного требования, срок которого не наступил, допускается в случаях, предусмотренных законом (ст. 410 ГК РФ). Пунктом 4 ст. 19 Закона об ООО такая возможность не предусмотрена. Поэтому в приведенной ситуации увеличение уставного капитала указанным в вопросе способом возможно лишь после наступления предусмотренного договором срока возврата займа (то есть после возникновения у </w:t>
      </w:r>
      <w:r w:rsidRPr="00452E44">
        <w:rPr>
          <w:rFonts w:ascii="Arial" w:hAnsi="Arial" w:cs="Arial"/>
          <w:color w:val="333333"/>
          <w:sz w:val="24"/>
          <w:szCs w:val="24"/>
          <w:shd w:val="clear" w:color="auto" w:fill="FFFFFF"/>
        </w:rPr>
        <w:softHyphen/>
        <w:t xml:space="preserve">заимодавца-участника права требовать исполнения денежного обязательства). </w:t>
      </w:r>
      <w:proofErr w:type="gramStart"/>
      <w:r w:rsidRPr="00452E44">
        <w:rPr>
          <w:rFonts w:ascii="Arial" w:hAnsi="Arial" w:cs="Arial"/>
          <w:color w:val="333333"/>
          <w:sz w:val="24"/>
          <w:szCs w:val="24"/>
          <w:shd w:val="clear" w:color="auto" w:fill="FFFFFF"/>
        </w:rPr>
        <w:t>Таким образом, если срок, в течение которого сумма займа должна быть возвращена участнику общества, в рассматриваемой ситуации наступил (у участника появилось денежное требование к обществу), единственный участник ООО вправе принять решение о зачете своего требования к обществу о возврате суммы займа в счет внесения им дополнительного вклада в уставный капитал этого общества.</w:t>
      </w:r>
      <w:proofErr w:type="gramEnd"/>
      <w:r w:rsidRPr="00452E44">
        <w:rPr>
          <w:rFonts w:ascii="Arial" w:hAnsi="Arial" w:cs="Arial"/>
          <w:color w:val="333333"/>
          <w:sz w:val="24"/>
          <w:szCs w:val="24"/>
          <w:shd w:val="clear" w:color="auto" w:fill="FFFFFF"/>
        </w:rPr>
        <w:t xml:space="preserve"> Все указанные выше решения могут быть приняты одновременно. </w:t>
      </w: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proofErr w:type="gramStart"/>
      <w:r w:rsidRPr="00452E44">
        <w:rPr>
          <w:rFonts w:ascii="Arial" w:hAnsi="Arial" w:cs="Arial"/>
          <w:color w:val="333333"/>
          <w:sz w:val="24"/>
          <w:szCs w:val="24"/>
          <w:shd w:val="clear" w:color="auto" w:fill="FFFFFF"/>
        </w:rPr>
        <w:t xml:space="preserve">Итак, для увеличения уставного капитала ООО путем внесения единственным участником дополнительного вклада с зачетом требований к обществу в счет внесения такого вклада единственному участнику </w:t>
      </w:r>
      <w:r w:rsidRPr="00452E44">
        <w:rPr>
          <w:rFonts w:ascii="Arial" w:hAnsi="Arial" w:cs="Arial"/>
          <w:color w:val="333333"/>
          <w:sz w:val="24"/>
          <w:szCs w:val="24"/>
          <w:shd w:val="clear" w:color="auto" w:fill="FFFFFF"/>
        </w:rPr>
        <w:softHyphen/>
        <w:t>следует оформить письменно следующие решения: об увеличении уставного капитала общества путем внесения дополнительного вклада его участником; об увеличении номинальной стоимости доли участника общества (на сумму, равную или меньшую стоимости дополнительного вклада);</w:t>
      </w:r>
      <w:proofErr w:type="gramEnd"/>
      <w:r w:rsidRPr="00452E44">
        <w:rPr>
          <w:rFonts w:ascii="Arial" w:hAnsi="Arial" w:cs="Arial"/>
          <w:color w:val="333333"/>
          <w:sz w:val="24"/>
          <w:szCs w:val="24"/>
          <w:shd w:val="clear" w:color="auto" w:fill="FFFFFF"/>
        </w:rPr>
        <w:t xml:space="preserve"> о внесении изменений в устав общества в связи с изменением размера уставного капитала; о зачете требования к обществу о возврате суммы займа (и уплате процентов, если они входят в размер денежного требования, в отношении которого производится зачет) в счет внесения дополнительного </w:t>
      </w:r>
      <w:r w:rsidRPr="00452E44">
        <w:rPr>
          <w:rFonts w:ascii="Arial" w:hAnsi="Arial" w:cs="Arial"/>
          <w:color w:val="333333"/>
          <w:sz w:val="24"/>
          <w:szCs w:val="24"/>
          <w:shd w:val="clear" w:color="auto" w:fill="FFFFFF"/>
        </w:rPr>
        <w:softHyphen/>
        <w:t xml:space="preserve">вклада в уставный капитал. </w:t>
      </w: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p>
    <w:p w:rsidR="00452E44" w:rsidRDefault="00452E44" w:rsidP="00363664">
      <w:pPr>
        <w:shd w:val="clear" w:color="auto" w:fill="FFFFFF"/>
        <w:spacing w:after="0" w:line="240" w:lineRule="auto"/>
        <w:ind w:firstLine="709"/>
        <w:jc w:val="both"/>
        <w:rPr>
          <w:rFonts w:ascii="Arial" w:hAnsi="Arial" w:cs="Arial"/>
          <w:color w:val="333333"/>
          <w:sz w:val="24"/>
          <w:szCs w:val="24"/>
          <w:shd w:val="clear" w:color="auto" w:fill="FFFFFF"/>
        </w:rPr>
      </w:pPr>
      <w:r w:rsidRPr="00452E44">
        <w:rPr>
          <w:rFonts w:ascii="Arial" w:hAnsi="Arial" w:cs="Arial"/>
          <w:color w:val="333333"/>
          <w:sz w:val="24"/>
          <w:szCs w:val="24"/>
          <w:shd w:val="clear" w:color="auto" w:fill="FFFFFF"/>
        </w:rPr>
        <w:t xml:space="preserve">По смыслу ст. 410 ГК РФ, п. 4 ст. 19 Закона об ООО для зачета требования участника к обществу в счет внесения дополнительного вклада участник должен </w:t>
      </w:r>
      <w:r w:rsidRPr="00452E44">
        <w:rPr>
          <w:rFonts w:ascii="Arial" w:hAnsi="Arial" w:cs="Arial"/>
          <w:color w:val="333333"/>
          <w:sz w:val="24"/>
          <w:szCs w:val="24"/>
          <w:shd w:val="clear" w:color="auto" w:fill="FFFFFF"/>
        </w:rPr>
        <w:lastRenderedPageBreak/>
        <w:t xml:space="preserve">направить обществу заявление о зачете. Иными словами, решение общего собрания участников, принятое в соответствии с п. 4 ст. 19 Закона об ООО, является только основанием для осуществления зачета, а сам зачет состоится при условии, что участник направит обществу заявление о зачете его требования. Поэтому после принятия указанных выше решений участник общества может заявить </w:t>
      </w:r>
      <w:proofErr w:type="gramStart"/>
      <w:r w:rsidRPr="00452E44">
        <w:rPr>
          <w:rFonts w:ascii="Arial" w:hAnsi="Arial" w:cs="Arial"/>
          <w:color w:val="333333"/>
          <w:sz w:val="24"/>
          <w:szCs w:val="24"/>
          <w:shd w:val="clear" w:color="auto" w:fill="FFFFFF"/>
        </w:rPr>
        <w:t>о зачете имеющихся у него денежных требований к ООО в счет внесения им вклада в уставный капитал</w:t>
      </w:r>
      <w:proofErr w:type="gramEnd"/>
      <w:r w:rsidRPr="00452E44">
        <w:rPr>
          <w:rFonts w:ascii="Arial" w:hAnsi="Arial" w:cs="Arial"/>
          <w:color w:val="333333"/>
          <w:sz w:val="24"/>
          <w:szCs w:val="24"/>
          <w:shd w:val="clear" w:color="auto" w:fill="FFFFFF"/>
        </w:rPr>
        <w:t xml:space="preserve"> ООО, направив в общество соответствующее заявление (ст. 410 ГК РФ).</w:t>
      </w:r>
    </w:p>
    <w:p w:rsidR="00452E44" w:rsidRPr="00363664" w:rsidRDefault="00452E44"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2E44">
        <w:rPr>
          <w:rFonts w:ascii="Arial" w:hAnsi="Arial" w:cs="Arial"/>
          <w:color w:val="333333"/>
          <w:sz w:val="24"/>
          <w:szCs w:val="24"/>
        </w:rPr>
        <w:br/>
      </w:r>
      <w:r w:rsidRPr="00452E44">
        <w:rPr>
          <w:rFonts w:ascii="Arial" w:hAnsi="Arial" w:cs="Arial"/>
          <w:color w:val="333333"/>
          <w:sz w:val="24"/>
          <w:szCs w:val="24"/>
        </w:rPr>
        <w:br/>
      </w:r>
      <w:r w:rsidRPr="00452E44">
        <w:rPr>
          <w:rFonts w:ascii="Arial" w:hAnsi="Arial" w:cs="Arial"/>
          <w:color w:val="333333"/>
          <w:sz w:val="24"/>
          <w:szCs w:val="24"/>
          <w:shd w:val="clear" w:color="auto" w:fill="FFFFFF"/>
        </w:rPr>
        <w:t xml:space="preserve"> </w:t>
      </w:r>
    </w:p>
    <w:p w:rsidR="00363664" w:rsidRPr="00363664" w:rsidRDefault="00363664" w:rsidP="00363664">
      <w:pPr>
        <w:spacing w:before="400" w:after="120" w:line="240" w:lineRule="auto"/>
        <w:ind w:left="720"/>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000000"/>
          <w:kern w:val="36"/>
          <w:sz w:val="36"/>
          <w:szCs w:val="36"/>
          <w:lang w:eastAsia="ru-RU"/>
        </w:rPr>
        <w:t>8. Людмила Александровна З.</w:t>
      </w:r>
    </w:p>
    <w:p w:rsidR="00363664" w:rsidRPr="00363664" w:rsidRDefault="00363664" w:rsidP="00363664">
      <w:pPr>
        <w:shd w:val="clear" w:color="auto" w:fill="FFFFFF"/>
        <w:spacing w:before="220" w:after="0" w:line="240" w:lineRule="auto"/>
        <w:ind w:firstLine="720"/>
        <w:jc w:val="both"/>
        <w:outlineLvl w:val="0"/>
        <w:rPr>
          <w:rFonts w:ascii="Times New Roman" w:eastAsia="Times New Roman" w:hAnsi="Times New Roman" w:cs="Times New Roman"/>
          <w:b/>
          <w:bCs/>
          <w:kern w:val="36"/>
          <w:sz w:val="48"/>
          <w:szCs w:val="48"/>
          <w:lang w:eastAsia="ru-RU"/>
        </w:rPr>
      </w:pPr>
      <w:r w:rsidRPr="00363664">
        <w:rPr>
          <w:rFonts w:ascii="Times New Roman" w:eastAsia="Times New Roman" w:hAnsi="Times New Roman" w:cs="Times New Roman"/>
          <w:b/>
          <w:bCs/>
          <w:color w:val="FF0000"/>
          <w:kern w:val="36"/>
          <w:sz w:val="36"/>
          <w:szCs w:val="36"/>
          <w:shd w:val="clear" w:color="auto" w:fill="FFFFFF"/>
          <w:lang w:eastAsia="ru-RU"/>
        </w:rPr>
        <w:t>НЕВЕРОВ</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proofErr w:type="gramStart"/>
      <w:r w:rsidRPr="00363664">
        <w:rPr>
          <w:rFonts w:ascii="Times New Roman" w:eastAsia="Times New Roman" w:hAnsi="Times New Roman" w:cs="Times New Roman"/>
          <w:color w:val="0070C0"/>
          <w:sz w:val="36"/>
          <w:szCs w:val="36"/>
          <w:shd w:val="clear" w:color="auto" w:fill="FFFFFF"/>
          <w:lang w:eastAsia="ru-RU"/>
        </w:rPr>
        <w:t xml:space="preserve">В декабре 2021 г был списан вышедшей из строя компьютер </w:t>
      </w:r>
      <w:proofErr w:type="spellStart"/>
      <w:r w:rsidRPr="00363664">
        <w:rPr>
          <w:rFonts w:ascii="Times New Roman" w:eastAsia="Times New Roman" w:hAnsi="Times New Roman" w:cs="Times New Roman"/>
          <w:color w:val="0070C0"/>
          <w:sz w:val="36"/>
          <w:szCs w:val="36"/>
          <w:shd w:val="clear" w:color="auto" w:fill="FFFFFF"/>
          <w:lang w:eastAsia="ru-RU"/>
        </w:rPr>
        <w:t>Mac</w:t>
      </w:r>
      <w:proofErr w:type="spellEnd"/>
      <w:r w:rsidRPr="00363664">
        <w:rPr>
          <w:rFonts w:ascii="Times New Roman" w:eastAsia="Times New Roman" w:hAnsi="Times New Roman" w:cs="Times New Roman"/>
          <w:color w:val="0070C0"/>
          <w:sz w:val="36"/>
          <w:szCs w:val="36"/>
          <w:shd w:val="clear" w:color="auto" w:fill="FFFFFF"/>
          <w:lang w:eastAsia="ru-RU"/>
        </w:rPr>
        <w:t xml:space="preserve"> </w:t>
      </w:r>
      <w:proofErr w:type="spellStart"/>
      <w:r w:rsidRPr="00363664">
        <w:rPr>
          <w:rFonts w:ascii="Times New Roman" w:eastAsia="Times New Roman" w:hAnsi="Times New Roman" w:cs="Times New Roman"/>
          <w:color w:val="0070C0"/>
          <w:sz w:val="36"/>
          <w:szCs w:val="36"/>
          <w:shd w:val="clear" w:color="auto" w:fill="FFFFFF"/>
          <w:lang w:eastAsia="ru-RU"/>
        </w:rPr>
        <w:t>Book</w:t>
      </w:r>
      <w:proofErr w:type="spellEnd"/>
      <w:r w:rsidRPr="00363664">
        <w:rPr>
          <w:rFonts w:ascii="Times New Roman" w:eastAsia="Times New Roman" w:hAnsi="Times New Roman" w:cs="Times New Roman"/>
          <w:color w:val="0070C0"/>
          <w:sz w:val="36"/>
          <w:szCs w:val="36"/>
          <w:shd w:val="clear" w:color="auto" w:fill="FFFFFF"/>
          <w:lang w:eastAsia="ru-RU"/>
        </w:rPr>
        <w:t xml:space="preserve"> </w:t>
      </w:r>
      <w:proofErr w:type="spellStart"/>
      <w:r w:rsidRPr="00363664">
        <w:rPr>
          <w:rFonts w:ascii="Times New Roman" w:eastAsia="Times New Roman" w:hAnsi="Times New Roman" w:cs="Times New Roman"/>
          <w:color w:val="0070C0"/>
          <w:sz w:val="36"/>
          <w:szCs w:val="36"/>
          <w:shd w:val="clear" w:color="auto" w:fill="FFFFFF"/>
          <w:lang w:eastAsia="ru-RU"/>
        </w:rPr>
        <w:t>Pro</w:t>
      </w:r>
      <w:proofErr w:type="spellEnd"/>
      <w:r w:rsidRPr="00363664">
        <w:rPr>
          <w:rFonts w:ascii="Times New Roman" w:eastAsia="Times New Roman" w:hAnsi="Times New Roman" w:cs="Times New Roman"/>
          <w:color w:val="0070C0"/>
          <w:sz w:val="36"/>
          <w:szCs w:val="36"/>
          <w:shd w:val="clear" w:color="auto" w:fill="FFFFFF"/>
          <w:lang w:eastAsia="ru-RU"/>
        </w:rPr>
        <w:t>.</w:t>
      </w:r>
      <w:proofErr w:type="gramEnd"/>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Компьютер использовался 6 лет. Износ исчислен на полную стоимость.</w:t>
      </w: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r w:rsidRPr="00363664">
        <w:rPr>
          <w:rFonts w:ascii="Times New Roman" w:eastAsia="Times New Roman" w:hAnsi="Times New Roman" w:cs="Times New Roman"/>
          <w:color w:val="0070C0"/>
          <w:sz w:val="36"/>
          <w:szCs w:val="36"/>
          <w:shd w:val="clear" w:color="auto" w:fill="FFFFFF"/>
          <w:lang w:eastAsia="ru-RU"/>
        </w:rPr>
        <w:t>В 2022 г. компьютер был отремонтирован на сумму 83000 руб. и доставка 400 руб.</w:t>
      </w:r>
    </w:p>
    <w:p w:rsidR="00363664" w:rsidRDefault="00363664" w:rsidP="00363664">
      <w:pPr>
        <w:shd w:val="clear" w:color="auto" w:fill="FFFFFF"/>
        <w:spacing w:after="0" w:line="240" w:lineRule="auto"/>
        <w:ind w:firstLine="709"/>
        <w:jc w:val="both"/>
        <w:rPr>
          <w:rFonts w:ascii="Times New Roman" w:eastAsia="Times New Roman" w:hAnsi="Times New Roman" w:cs="Times New Roman"/>
          <w:color w:val="0070C0"/>
          <w:sz w:val="36"/>
          <w:szCs w:val="36"/>
          <w:shd w:val="clear" w:color="auto" w:fill="FFFFFF"/>
          <w:lang w:eastAsia="ru-RU"/>
        </w:rPr>
      </w:pPr>
      <w:r w:rsidRPr="00363664">
        <w:rPr>
          <w:rFonts w:ascii="Times New Roman" w:eastAsia="Times New Roman" w:hAnsi="Times New Roman" w:cs="Times New Roman"/>
          <w:color w:val="0070C0"/>
          <w:sz w:val="36"/>
          <w:szCs w:val="36"/>
          <w:shd w:val="clear" w:color="auto" w:fill="FFFFFF"/>
          <w:lang w:eastAsia="ru-RU"/>
        </w:rPr>
        <w:t xml:space="preserve">Как правильно восстановить в бухучете? Нужно ли отражать в </w:t>
      </w:r>
      <w:proofErr w:type="spellStart"/>
      <w:r w:rsidRPr="00363664">
        <w:rPr>
          <w:rFonts w:ascii="Times New Roman" w:eastAsia="Times New Roman" w:hAnsi="Times New Roman" w:cs="Times New Roman"/>
          <w:color w:val="0070C0"/>
          <w:sz w:val="36"/>
          <w:szCs w:val="36"/>
          <w:shd w:val="clear" w:color="auto" w:fill="FFFFFF"/>
          <w:lang w:eastAsia="ru-RU"/>
        </w:rPr>
        <w:t>статотчете</w:t>
      </w:r>
      <w:proofErr w:type="spellEnd"/>
      <w:r w:rsidRPr="00363664">
        <w:rPr>
          <w:rFonts w:ascii="Times New Roman" w:eastAsia="Times New Roman" w:hAnsi="Times New Roman" w:cs="Times New Roman"/>
          <w:color w:val="0070C0"/>
          <w:sz w:val="36"/>
          <w:szCs w:val="36"/>
          <w:shd w:val="clear" w:color="auto" w:fill="FFFFFF"/>
          <w:lang w:eastAsia="ru-RU"/>
        </w:rPr>
        <w:t xml:space="preserve"> П-2 и сдавать Отчёт об операциях с прослеживаемыми товарами.</w:t>
      </w:r>
    </w:p>
    <w:p w:rsidR="00E70CB4" w:rsidRDefault="00E70CB4" w:rsidP="00363664">
      <w:pPr>
        <w:shd w:val="clear" w:color="auto" w:fill="FFFFFF"/>
        <w:spacing w:after="0" w:line="240" w:lineRule="auto"/>
        <w:ind w:firstLine="709"/>
        <w:jc w:val="both"/>
        <w:rPr>
          <w:rFonts w:ascii="Times New Roman" w:eastAsia="Times New Roman" w:hAnsi="Times New Roman" w:cs="Times New Roman"/>
          <w:color w:val="0070C0"/>
          <w:sz w:val="36"/>
          <w:szCs w:val="36"/>
          <w:shd w:val="clear" w:color="auto" w:fill="FFFFFF"/>
          <w:lang w:eastAsia="ru-RU"/>
        </w:rPr>
      </w:pPr>
    </w:p>
    <w:p w:rsidR="00E70CB4" w:rsidRPr="00E70CB4" w:rsidRDefault="00E70CB4" w:rsidP="00E70CB4">
      <w:pPr>
        <w:shd w:val="clear" w:color="auto" w:fill="FFFFFF"/>
        <w:spacing w:before="100" w:beforeAutospacing="1" w:after="126"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При демонтаже ОС в распоряжении компании, как правило, остается материал — запасные части в различном техническом состоянии, которые могут быть использованы в дальнейшей деятельности либо отслужили и непригодны для применения.</w:t>
      </w:r>
    </w:p>
    <w:p w:rsidR="00E70CB4" w:rsidRPr="00E70CB4" w:rsidRDefault="00E70CB4" w:rsidP="00E70CB4">
      <w:pPr>
        <w:shd w:val="clear" w:color="auto" w:fill="FFFFFF"/>
        <w:spacing w:before="100" w:beforeAutospacing="1" w:after="126"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Их нужно принять к учету за счет балансовой стоимости выбывающего объекта одновременно с его списанием с учета (п. 3 Рекомендации Р-63/2015-КпР "Материальные ценности от ликвидации основных средств"). </w:t>
      </w:r>
    </w:p>
    <w:p w:rsidR="00E70CB4" w:rsidRPr="00E70CB4" w:rsidRDefault="00E70CB4" w:rsidP="00E70CB4">
      <w:pPr>
        <w:shd w:val="clear" w:color="auto" w:fill="FFFFFF"/>
        <w:spacing w:before="100" w:beforeAutospacing="1" w:after="126"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В зависимости от целей дальнейшего использования эти материальные ценности могут быть признаны:</w:t>
      </w:r>
    </w:p>
    <w:p w:rsidR="00E70CB4" w:rsidRPr="00E70CB4" w:rsidRDefault="00E70CB4" w:rsidP="00E70CB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запасами — если эти ценности планируется потребить или продать в рамках обычного операционного цикла или использовать в течение периода не более 12 месяцев (п. 3 ФСБУ 5/2019 "Запасы");</w:t>
      </w:r>
    </w:p>
    <w:p w:rsidR="00E70CB4" w:rsidRPr="00E70CB4" w:rsidRDefault="00E70CB4" w:rsidP="00E70CB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долгосрочными активами к продаже — если есть намерение их продать, но такая продажа не является для компании обычным видом деятельности (п. 10.1 ПБУ 16/02 "Информация по прекращаемой деятельности");</w:t>
      </w:r>
    </w:p>
    <w:p w:rsidR="00E70CB4" w:rsidRPr="00E70CB4" w:rsidRDefault="00E70CB4" w:rsidP="00E70CB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E70CB4">
        <w:rPr>
          <w:rFonts w:ascii="Trebuchet MS" w:eastAsia="Times New Roman" w:hAnsi="Trebuchet MS" w:cs="Times New Roman"/>
          <w:color w:val="000000"/>
          <w:sz w:val="24"/>
          <w:szCs w:val="24"/>
          <w:lang w:eastAsia="ru-RU"/>
        </w:rPr>
        <w:t xml:space="preserve">капитальными вложениями — если планируется использовать их более 12 месяцев или более чем в течение обычного операционного цикла, </w:t>
      </w:r>
      <w:r w:rsidRPr="00E70CB4">
        <w:rPr>
          <w:rFonts w:ascii="Trebuchet MS" w:eastAsia="Times New Roman" w:hAnsi="Trebuchet MS" w:cs="Times New Roman"/>
          <w:color w:val="000000"/>
          <w:sz w:val="24"/>
          <w:szCs w:val="24"/>
          <w:lang w:eastAsia="ru-RU"/>
        </w:rPr>
        <w:lastRenderedPageBreak/>
        <w:t>превышающего 12 месяцев (например, при создании нового ОС) (</w:t>
      </w:r>
      <w:proofErr w:type="spellStart"/>
      <w:r w:rsidRPr="00E70CB4">
        <w:rPr>
          <w:rFonts w:ascii="Trebuchet MS" w:eastAsia="Times New Roman" w:hAnsi="Trebuchet MS" w:cs="Times New Roman"/>
          <w:color w:val="000000"/>
          <w:sz w:val="24"/>
          <w:szCs w:val="24"/>
          <w:lang w:eastAsia="ru-RU"/>
        </w:rPr>
        <w:t>пп</w:t>
      </w:r>
      <w:proofErr w:type="spellEnd"/>
      <w:r w:rsidRPr="00E70CB4">
        <w:rPr>
          <w:rFonts w:ascii="Trebuchet MS" w:eastAsia="Times New Roman" w:hAnsi="Trebuchet MS" w:cs="Times New Roman"/>
          <w:color w:val="000000"/>
          <w:sz w:val="24"/>
          <w:szCs w:val="24"/>
          <w:lang w:eastAsia="ru-RU"/>
        </w:rPr>
        <w:t xml:space="preserve">. "а" п. 5, </w:t>
      </w:r>
      <w:proofErr w:type="spellStart"/>
      <w:r w:rsidRPr="00E70CB4">
        <w:rPr>
          <w:rFonts w:ascii="Trebuchet MS" w:eastAsia="Times New Roman" w:hAnsi="Trebuchet MS" w:cs="Times New Roman"/>
          <w:color w:val="000000"/>
          <w:sz w:val="24"/>
          <w:szCs w:val="24"/>
          <w:lang w:eastAsia="ru-RU"/>
        </w:rPr>
        <w:t>пп</w:t>
      </w:r>
      <w:proofErr w:type="spellEnd"/>
      <w:r w:rsidRPr="00E70CB4">
        <w:rPr>
          <w:rFonts w:ascii="Trebuchet MS" w:eastAsia="Times New Roman" w:hAnsi="Trebuchet MS" w:cs="Times New Roman"/>
          <w:color w:val="000000"/>
          <w:sz w:val="24"/>
          <w:szCs w:val="24"/>
          <w:lang w:eastAsia="ru-RU"/>
        </w:rPr>
        <w:t>. "а" п. 6 ФСБУ 26/2020 "Капитальные вложения").</w:t>
      </w:r>
    </w:p>
    <w:p w:rsidR="00E70CB4" w:rsidRDefault="00E70CB4" w:rsidP="00363664">
      <w:pPr>
        <w:shd w:val="clear" w:color="auto" w:fill="FFFFFF"/>
        <w:spacing w:after="0" w:line="240" w:lineRule="auto"/>
        <w:ind w:firstLine="709"/>
        <w:jc w:val="both"/>
        <w:rPr>
          <w:rFonts w:ascii="Times New Roman" w:eastAsia="Times New Roman" w:hAnsi="Times New Roman" w:cs="Times New Roman"/>
          <w:color w:val="0070C0"/>
          <w:sz w:val="36"/>
          <w:szCs w:val="36"/>
          <w:shd w:val="clear" w:color="auto" w:fill="FFFFFF"/>
          <w:lang w:eastAsia="ru-RU"/>
        </w:rPr>
      </w:pPr>
    </w:p>
    <w:p w:rsidR="00E70CB4" w:rsidRPr="00363664" w:rsidRDefault="00E70CB4" w:rsidP="00363664">
      <w:pPr>
        <w:shd w:val="clear" w:color="auto" w:fill="FFFFFF"/>
        <w:spacing w:after="0" w:line="240" w:lineRule="auto"/>
        <w:ind w:firstLine="709"/>
        <w:jc w:val="both"/>
        <w:rPr>
          <w:rFonts w:ascii="Times New Roman" w:eastAsia="Times New Roman" w:hAnsi="Times New Roman" w:cs="Times New Roman"/>
          <w:color w:val="0070C0"/>
          <w:sz w:val="24"/>
          <w:szCs w:val="24"/>
          <w:lang w:eastAsia="ru-RU"/>
        </w:rPr>
      </w:pPr>
    </w:p>
    <w:p w:rsidR="00363664" w:rsidRPr="00363664" w:rsidRDefault="00363664" w:rsidP="0036366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664">
        <w:rPr>
          <w:rFonts w:ascii="Times New Roman" w:eastAsia="Times New Roman" w:hAnsi="Times New Roman" w:cs="Times New Roman"/>
          <w:sz w:val="24"/>
          <w:szCs w:val="24"/>
          <w:lang w:eastAsia="ru-RU"/>
        </w:rPr>
        <w:t> </w:t>
      </w:r>
    </w:p>
    <w:p w:rsidR="008F1040" w:rsidRPr="008F1040" w:rsidRDefault="008F1040" w:rsidP="008F1040">
      <w:pPr>
        <w:pStyle w:val="a3"/>
        <w:shd w:val="clear" w:color="auto" w:fill="FFFFFF"/>
        <w:spacing w:before="0" w:beforeAutospacing="0" w:after="0" w:afterAutospacing="0" w:line="152" w:lineRule="atLeast"/>
        <w:textAlignment w:val="baseline"/>
        <w:rPr>
          <w:rFonts w:ascii="Arial" w:hAnsi="Arial" w:cs="Arial"/>
          <w:color w:val="000000"/>
        </w:rPr>
      </w:pPr>
      <w:r w:rsidRPr="008F1040">
        <w:rPr>
          <w:rFonts w:ascii="Arial" w:hAnsi="Arial" w:cs="Arial"/>
          <w:color w:val="000000"/>
        </w:rPr>
        <w:t xml:space="preserve">отчет об операциях с товарами, подлежащими </w:t>
      </w:r>
      <w:proofErr w:type="spellStart"/>
      <w:r w:rsidRPr="008F1040">
        <w:rPr>
          <w:rFonts w:ascii="Arial" w:hAnsi="Arial" w:cs="Arial"/>
          <w:color w:val="000000"/>
        </w:rPr>
        <w:t>прослеживаемости</w:t>
      </w:r>
      <w:proofErr w:type="spellEnd"/>
      <w:r w:rsidRPr="008F1040">
        <w:rPr>
          <w:rFonts w:ascii="Arial" w:hAnsi="Arial" w:cs="Arial"/>
          <w:color w:val="000000"/>
        </w:rPr>
        <w:t xml:space="preserve">, необходимо представлять, в том числе в случаях прекращения </w:t>
      </w:r>
      <w:proofErr w:type="spellStart"/>
      <w:r w:rsidRPr="008F1040">
        <w:rPr>
          <w:rFonts w:ascii="Arial" w:hAnsi="Arial" w:cs="Arial"/>
          <w:color w:val="000000"/>
        </w:rPr>
        <w:t>прослеживаемости</w:t>
      </w:r>
      <w:proofErr w:type="spellEnd"/>
      <w:r w:rsidRPr="008F1040">
        <w:rPr>
          <w:rFonts w:ascii="Arial" w:hAnsi="Arial" w:cs="Arial"/>
          <w:color w:val="000000"/>
        </w:rPr>
        <w:t>, в частности, при передаче товара в переработку или при его утилизации.</w:t>
      </w:r>
    </w:p>
    <w:p w:rsidR="008F1040" w:rsidRPr="008F1040" w:rsidRDefault="008F1040" w:rsidP="008F1040">
      <w:pPr>
        <w:pStyle w:val="a3"/>
        <w:shd w:val="clear" w:color="auto" w:fill="FFFFFF"/>
        <w:spacing w:before="0" w:beforeAutospacing="0" w:after="0" w:afterAutospacing="0" w:line="152" w:lineRule="atLeast"/>
        <w:textAlignment w:val="baseline"/>
        <w:rPr>
          <w:rFonts w:ascii="Arial" w:hAnsi="Arial" w:cs="Arial"/>
          <w:color w:val="000000"/>
        </w:rPr>
      </w:pPr>
      <w:r w:rsidRPr="008F1040">
        <w:rPr>
          <w:rFonts w:ascii="Arial" w:hAnsi="Arial" w:cs="Arial"/>
          <w:color w:val="000000"/>
        </w:rPr>
        <w:t xml:space="preserve">А вот списание товара со счетов бухучета к таким операциям не относится. Следовательно, включать в </w:t>
      </w:r>
      <w:proofErr w:type="gramStart"/>
      <w:r w:rsidRPr="008F1040">
        <w:rPr>
          <w:rFonts w:ascii="Arial" w:hAnsi="Arial" w:cs="Arial"/>
          <w:color w:val="000000"/>
        </w:rPr>
        <w:t>отчет</w:t>
      </w:r>
      <w:proofErr w:type="gramEnd"/>
      <w:r w:rsidRPr="008F1040">
        <w:rPr>
          <w:rFonts w:ascii="Arial" w:hAnsi="Arial" w:cs="Arial"/>
          <w:color w:val="000000"/>
        </w:rPr>
        <w:t xml:space="preserve"> списанный по причине поломки монитор не нужно.</w:t>
      </w:r>
    </w:p>
    <w:p w:rsidR="008F1040" w:rsidRPr="008F1040" w:rsidRDefault="008F1040" w:rsidP="008F1040">
      <w:pPr>
        <w:pStyle w:val="sources"/>
        <w:shd w:val="clear" w:color="auto" w:fill="FFFFFF"/>
        <w:spacing w:before="0" w:beforeAutospacing="0" w:after="0" w:afterAutospacing="0" w:line="133" w:lineRule="atLeast"/>
        <w:textAlignment w:val="baseline"/>
        <w:rPr>
          <w:rFonts w:ascii="Arial" w:hAnsi="Arial" w:cs="Arial"/>
          <w:color w:val="000000"/>
        </w:rPr>
      </w:pPr>
      <w:r w:rsidRPr="008F1040">
        <w:rPr>
          <w:rFonts w:ascii="Arial" w:hAnsi="Arial" w:cs="Arial"/>
          <w:color w:val="000000"/>
        </w:rPr>
        <w:t>Источник: </w:t>
      </w:r>
      <w:hyperlink r:id="rId31" w:tgtFrame="_blank" w:history="1">
        <w:r w:rsidRPr="008F1040">
          <w:rPr>
            <w:rStyle w:val="a4"/>
            <w:rFonts w:ascii="Arial" w:hAnsi="Arial" w:cs="Arial"/>
            <w:color w:val="7159A6"/>
            <w:bdr w:val="none" w:sz="0" w:space="0" w:color="auto" w:frame="1"/>
          </w:rPr>
          <w:t>Письмо ФНС от 19.10.2021 № ЕА-4-15/14817@</w:t>
        </w:r>
      </w:hyperlink>
    </w:p>
    <w:p w:rsidR="00F72FDE" w:rsidRDefault="00F72FDE"/>
    <w:p w:rsidR="008F1040" w:rsidRPr="008F1040" w:rsidRDefault="008F1040" w:rsidP="008F1040">
      <w:pPr>
        <w:pStyle w:val="a3"/>
        <w:shd w:val="clear" w:color="auto" w:fill="FFFFFF"/>
        <w:spacing w:before="0" w:beforeAutospacing="0" w:after="240" w:afterAutospacing="0"/>
        <w:rPr>
          <w:color w:val="464646"/>
        </w:rPr>
      </w:pPr>
      <w:r w:rsidRPr="008F1040">
        <w:rPr>
          <w:color w:val="464646"/>
        </w:rPr>
        <w:t xml:space="preserve">Вопрос: Об отдельных вопросах, связанных с применением положений законодательства о национальной системе </w:t>
      </w:r>
      <w:proofErr w:type="spellStart"/>
      <w:r w:rsidRPr="008F1040">
        <w:rPr>
          <w:color w:val="464646"/>
        </w:rPr>
        <w:t>прослеживаемости</w:t>
      </w:r>
      <w:proofErr w:type="spellEnd"/>
      <w:r w:rsidRPr="008F1040">
        <w:rPr>
          <w:color w:val="464646"/>
        </w:rPr>
        <w:t xml:space="preserve"> товаров.</w:t>
      </w:r>
    </w:p>
    <w:p w:rsidR="008F1040" w:rsidRPr="008F1040" w:rsidRDefault="008F1040" w:rsidP="008F1040">
      <w:pPr>
        <w:pStyle w:val="a3"/>
        <w:shd w:val="clear" w:color="auto" w:fill="FFFFFF"/>
        <w:spacing w:before="240" w:beforeAutospacing="0" w:after="240" w:afterAutospacing="0"/>
        <w:rPr>
          <w:color w:val="464646"/>
        </w:rPr>
      </w:pPr>
      <w:r w:rsidRPr="008F1040">
        <w:rPr>
          <w:color w:val="464646"/>
        </w:rPr>
        <w:t>Ответ:</w:t>
      </w:r>
    </w:p>
    <w:p w:rsidR="008F1040" w:rsidRPr="008F1040" w:rsidRDefault="008F1040" w:rsidP="008F1040">
      <w:pPr>
        <w:pStyle w:val="a3"/>
        <w:shd w:val="clear" w:color="auto" w:fill="FFFFFF"/>
        <w:spacing w:before="240" w:beforeAutospacing="0" w:after="240" w:afterAutospacing="0"/>
        <w:jc w:val="center"/>
        <w:rPr>
          <w:color w:val="464646"/>
        </w:rPr>
      </w:pPr>
      <w:r w:rsidRPr="008F1040">
        <w:rPr>
          <w:color w:val="464646"/>
        </w:rPr>
        <w:t>МИНИСТЕРСТВО ФИНАНСОВ РОССИЙСКОЙ ФЕДЕРАЦИИ</w:t>
      </w:r>
    </w:p>
    <w:p w:rsidR="008F1040" w:rsidRPr="008F1040" w:rsidRDefault="008F1040" w:rsidP="008F1040">
      <w:pPr>
        <w:pStyle w:val="a3"/>
        <w:shd w:val="clear" w:color="auto" w:fill="FFFFFF"/>
        <w:spacing w:before="240" w:beforeAutospacing="0" w:after="240" w:afterAutospacing="0"/>
        <w:jc w:val="center"/>
        <w:rPr>
          <w:color w:val="464646"/>
        </w:rPr>
      </w:pPr>
      <w:r w:rsidRPr="008F1040">
        <w:rPr>
          <w:color w:val="464646"/>
        </w:rPr>
        <w:t>ФЕДЕРАЛЬНАЯ НАЛОГОВАЯ СЛУЖБА</w:t>
      </w:r>
    </w:p>
    <w:p w:rsidR="008F1040" w:rsidRPr="008F1040" w:rsidRDefault="008F1040" w:rsidP="008F1040">
      <w:pPr>
        <w:pStyle w:val="a3"/>
        <w:shd w:val="clear" w:color="auto" w:fill="FFFFFF"/>
        <w:spacing w:before="240" w:beforeAutospacing="0" w:after="240" w:afterAutospacing="0"/>
        <w:jc w:val="center"/>
        <w:rPr>
          <w:color w:val="464646"/>
        </w:rPr>
      </w:pPr>
      <w:r w:rsidRPr="008F1040">
        <w:rPr>
          <w:color w:val="464646"/>
        </w:rPr>
        <w:t>ПИСЬМО</w:t>
      </w:r>
      <w:r w:rsidRPr="008F1040">
        <w:rPr>
          <w:color w:val="464646"/>
        </w:rPr>
        <w:br/>
        <w:t>от 19 октября 2021 г. N ЕА-4-15/14817@</w:t>
      </w:r>
    </w:p>
    <w:p w:rsidR="008F1040" w:rsidRPr="008F1040" w:rsidRDefault="008F1040" w:rsidP="008F1040">
      <w:pPr>
        <w:pStyle w:val="a3"/>
        <w:shd w:val="clear" w:color="auto" w:fill="FFFFFF"/>
        <w:spacing w:before="240" w:beforeAutospacing="0" w:after="240" w:afterAutospacing="0"/>
        <w:rPr>
          <w:color w:val="464646"/>
        </w:rPr>
      </w:pPr>
      <w:r w:rsidRPr="008F1040">
        <w:rPr>
          <w:color w:val="464646"/>
        </w:rPr>
        <w:t xml:space="preserve">Федеральная налоговая служба, рассмотрев обращение по вопросам применения положений законодательства о национальной системе </w:t>
      </w:r>
      <w:proofErr w:type="spellStart"/>
      <w:r w:rsidRPr="008F1040">
        <w:rPr>
          <w:color w:val="464646"/>
        </w:rPr>
        <w:t>прослеживаемости</w:t>
      </w:r>
      <w:proofErr w:type="spellEnd"/>
      <w:r w:rsidRPr="008F1040">
        <w:rPr>
          <w:color w:val="464646"/>
        </w:rPr>
        <w:t xml:space="preserve"> товаров, направленное письмом Минфина России от 20.09.2021 N 27-01-22/75963, сообщает следующее.</w:t>
      </w:r>
      <w:r w:rsidRPr="008F1040">
        <w:rPr>
          <w:color w:val="464646"/>
        </w:rPr>
        <w:br/>
        <w:t xml:space="preserve">По вопросу получения от поставщика счета-фактуры на товары, подлежащие </w:t>
      </w:r>
      <w:proofErr w:type="spellStart"/>
      <w:r w:rsidRPr="008F1040">
        <w:rPr>
          <w:color w:val="464646"/>
        </w:rPr>
        <w:t>прослеживаемости</w:t>
      </w:r>
      <w:proofErr w:type="spellEnd"/>
      <w:r w:rsidRPr="008F1040">
        <w:rPr>
          <w:color w:val="464646"/>
        </w:rPr>
        <w:t>, на бумажном носителе</w:t>
      </w:r>
      <w:proofErr w:type="gramStart"/>
      <w:r w:rsidRPr="008F1040">
        <w:rPr>
          <w:color w:val="464646"/>
        </w:rPr>
        <w:br/>
        <w:t>Н</w:t>
      </w:r>
      <w:proofErr w:type="gramEnd"/>
      <w:r w:rsidRPr="008F1040">
        <w:rPr>
          <w:color w:val="464646"/>
        </w:rPr>
        <w:t xml:space="preserve">а основании пунктов 1.1, 1.2 и 5 статьи 169 Налогового кодекса Российской Федерации (далее — Кодекс) при реализации товаров, подлежащих </w:t>
      </w:r>
      <w:proofErr w:type="spellStart"/>
      <w:r w:rsidRPr="008F1040">
        <w:rPr>
          <w:color w:val="464646"/>
        </w:rPr>
        <w:t>прослеживаемости</w:t>
      </w:r>
      <w:proofErr w:type="spellEnd"/>
      <w:r w:rsidRPr="008F1040">
        <w:rPr>
          <w:color w:val="464646"/>
        </w:rPr>
        <w:t xml:space="preserve">, налогоплательщики обязаны выставлять в электронной форме счета-фактуры, содержащие регистрационный номер партии товара, подлежащего </w:t>
      </w:r>
      <w:proofErr w:type="spellStart"/>
      <w:r w:rsidRPr="008F1040">
        <w:rPr>
          <w:color w:val="464646"/>
        </w:rPr>
        <w:t>прослеживаемости</w:t>
      </w:r>
      <w:proofErr w:type="spellEnd"/>
      <w:r w:rsidRPr="008F1040">
        <w:rPr>
          <w:color w:val="464646"/>
        </w:rPr>
        <w:t xml:space="preserve"> (далее — РНПТ), количественную единицу измерения товара, используемую в целях осуществления </w:t>
      </w:r>
      <w:proofErr w:type="spellStart"/>
      <w:r w:rsidRPr="008F1040">
        <w:rPr>
          <w:color w:val="464646"/>
        </w:rPr>
        <w:t>прослеживаемости</w:t>
      </w:r>
      <w:proofErr w:type="spellEnd"/>
      <w:r w:rsidRPr="008F1040">
        <w:rPr>
          <w:color w:val="464646"/>
        </w:rPr>
        <w:t xml:space="preserve">, количество товара, подлежащего </w:t>
      </w:r>
      <w:proofErr w:type="spellStart"/>
      <w:r w:rsidRPr="008F1040">
        <w:rPr>
          <w:color w:val="464646"/>
        </w:rPr>
        <w:t>прослеживаемости</w:t>
      </w:r>
      <w:proofErr w:type="spellEnd"/>
      <w:r w:rsidRPr="008F1040">
        <w:rPr>
          <w:color w:val="464646"/>
        </w:rPr>
        <w:t xml:space="preserve">, а налогоплательщики, приобретающие товар, подлежащий </w:t>
      </w:r>
      <w:proofErr w:type="spellStart"/>
      <w:r w:rsidRPr="008F1040">
        <w:rPr>
          <w:color w:val="464646"/>
        </w:rPr>
        <w:t>прослеживаемости</w:t>
      </w:r>
      <w:proofErr w:type="spellEnd"/>
      <w:r w:rsidRPr="008F1040">
        <w:rPr>
          <w:color w:val="464646"/>
        </w:rPr>
        <w:t>, обязаны обеспечить получение таких счетов-фактур.</w:t>
      </w:r>
      <w:r w:rsidRPr="008F1040">
        <w:rPr>
          <w:color w:val="464646"/>
        </w:rPr>
        <w:br/>
        <w:t>Согласно пункту 2 статьи 169 Кодекса счета-фактуры являются основанием для принятия предъявленных покупателю продавцом сумм налога на добавленную стоимость к вычету при выполнении требований, установленных пунктами 5, 5.1 и 6 данной статьи Кодекса.</w:t>
      </w:r>
      <w:r w:rsidRPr="008F1040">
        <w:rPr>
          <w:color w:val="464646"/>
        </w:rPr>
        <w:br/>
      </w:r>
      <w:proofErr w:type="gramStart"/>
      <w:r w:rsidRPr="008F1040">
        <w:rPr>
          <w:color w:val="464646"/>
        </w:rPr>
        <w:t>Вместе с тем в соответствии с абзацем вторым пункта 2 статьи 169 Кодекса ошибки в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налоговую ставку и сумму налога, предъявленную покупателю, не являются основанием для отказа в принятии к вычету сумм налога.</w:t>
      </w:r>
      <w:proofErr w:type="gramEnd"/>
      <w:r w:rsidRPr="008F1040">
        <w:rPr>
          <w:color w:val="464646"/>
        </w:rPr>
        <w:br/>
        <w:t xml:space="preserve">Учитывая вышеизложенное, выставление счета-фактуры по товарам, подлежащим </w:t>
      </w:r>
      <w:proofErr w:type="spellStart"/>
      <w:r w:rsidRPr="008F1040">
        <w:rPr>
          <w:color w:val="464646"/>
        </w:rPr>
        <w:t>прослеживаемости</w:t>
      </w:r>
      <w:proofErr w:type="spellEnd"/>
      <w:r w:rsidRPr="008F1040">
        <w:rPr>
          <w:color w:val="464646"/>
        </w:rPr>
        <w:t>, на бумажном носителе не может являться основанием для отказа в принятии к вычету этого налога.</w:t>
      </w:r>
      <w:r w:rsidRPr="008F1040">
        <w:rPr>
          <w:color w:val="464646"/>
        </w:rPr>
        <w:br/>
      </w:r>
      <w:r w:rsidRPr="008F1040">
        <w:rPr>
          <w:color w:val="464646"/>
        </w:rPr>
        <w:lastRenderedPageBreak/>
        <w:t xml:space="preserve">Одновременно Федеральная налоговая служба информирует, что в рамках переходного периода (не менее 1 года), необходимого для адаптации программного обеспечения, не устанавливаются нормы, предусматривающие ответственность налогоплательщиков за нарушения положений законодательства о национальной системе </w:t>
      </w:r>
      <w:proofErr w:type="spellStart"/>
      <w:r w:rsidRPr="008F1040">
        <w:rPr>
          <w:color w:val="464646"/>
        </w:rPr>
        <w:t>прослеживаемости</w:t>
      </w:r>
      <w:proofErr w:type="spellEnd"/>
      <w:r w:rsidRPr="008F1040">
        <w:rPr>
          <w:color w:val="464646"/>
        </w:rPr>
        <w:t xml:space="preserve"> товаров.</w:t>
      </w:r>
      <w:r w:rsidRPr="008F1040">
        <w:rPr>
          <w:color w:val="464646"/>
        </w:rPr>
        <w:br/>
      </w:r>
      <w:proofErr w:type="gramStart"/>
      <w:r w:rsidRPr="008F1040">
        <w:rPr>
          <w:color w:val="464646"/>
        </w:rPr>
        <w:t xml:space="preserve">По вопросу обнаружения ошибки в уведомлении об имеющихся остатках товаров, подлежащих </w:t>
      </w:r>
      <w:proofErr w:type="spellStart"/>
      <w:r w:rsidRPr="008F1040">
        <w:rPr>
          <w:color w:val="464646"/>
        </w:rPr>
        <w:t>прослеживаемости</w:t>
      </w:r>
      <w:proofErr w:type="spellEnd"/>
      <w:r w:rsidRPr="008F1040">
        <w:rPr>
          <w:color w:val="464646"/>
        </w:rPr>
        <w:t xml:space="preserve"> (далее — Уведомление об остатках)</w:t>
      </w:r>
      <w:r w:rsidRPr="008F1040">
        <w:rPr>
          <w:color w:val="464646"/>
        </w:rPr>
        <w:br/>
        <w:t xml:space="preserve">В соответствии с пунктом 31 Положения о национальной системе </w:t>
      </w:r>
      <w:proofErr w:type="spellStart"/>
      <w:r w:rsidRPr="008F1040">
        <w:rPr>
          <w:color w:val="464646"/>
        </w:rPr>
        <w:t>прослеживаемости</w:t>
      </w:r>
      <w:proofErr w:type="spellEnd"/>
      <w:r w:rsidRPr="008F1040">
        <w:rPr>
          <w:color w:val="464646"/>
        </w:rPr>
        <w:t xml:space="preserve"> товаров, утвержденного постановлением Правительства Российской Федерации от 01.07.2021 N 1108 «Об утверждении Положения о национальной системе </w:t>
      </w:r>
      <w:proofErr w:type="spellStart"/>
      <w:r w:rsidRPr="008F1040">
        <w:rPr>
          <w:color w:val="464646"/>
        </w:rPr>
        <w:t>прослеживаемости</w:t>
      </w:r>
      <w:proofErr w:type="spellEnd"/>
      <w:r w:rsidRPr="008F1040">
        <w:rPr>
          <w:color w:val="464646"/>
        </w:rPr>
        <w:t xml:space="preserve"> товаров» (далее — Положение), при обнаружении ошибок в представленном Уведомлении об остатках ошибок участник оборота товаров обязан внести</w:t>
      </w:r>
      <w:proofErr w:type="gramEnd"/>
      <w:r w:rsidRPr="008F1040">
        <w:rPr>
          <w:color w:val="464646"/>
        </w:rPr>
        <w:t xml:space="preserve"> в него необходимые изменения и представить корректировочное Уведомление об остатках.</w:t>
      </w:r>
      <w:r w:rsidRPr="008F1040">
        <w:rPr>
          <w:color w:val="464646"/>
        </w:rPr>
        <w:br/>
        <w:t xml:space="preserve">Формирование и заполнение корректировочного Уведомления об остатках осуществляются в соответствии с порядком, утвержденным приказом ФНС России от 08.07.2021 N ЕД-7-15/645@ «Об утверждении форм, форматов, порядков заполнения отчета об операциях с товарами, подлежащими </w:t>
      </w:r>
      <w:proofErr w:type="spellStart"/>
      <w:r w:rsidRPr="008F1040">
        <w:rPr>
          <w:color w:val="464646"/>
        </w:rPr>
        <w:t>прослеживаемости</w:t>
      </w:r>
      <w:proofErr w:type="spellEnd"/>
      <w:r w:rsidRPr="008F1040">
        <w:rPr>
          <w:color w:val="464646"/>
        </w:rPr>
        <w:t xml:space="preserve">, и документов, содержащих реквизиты </w:t>
      </w:r>
      <w:proofErr w:type="spellStart"/>
      <w:r w:rsidRPr="008F1040">
        <w:rPr>
          <w:color w:val="464646"/>
        </w:rPr>
        <w:t>прослеживаемости</w:t>
      </w:r>
      <w:proofErr w:type="spellEnd"/>
      <w:r w:rsidRPr="008F1040">
        <w:rPr>
          <w:color w:val="464646"/>
        </w:rPr>
        <w:t>» (далее — Приказ).</w:t>
      </w:r>
      <w:r w:rsidRPr="008F1040">
        <w:rPr>
          <w:color w:val="464646"/>
        </w:rPr>
        <w:br/>
      </w:r>
      <w:r w:rsidRPr="008F1040">
        <w:rPr>
          <w:color w:val="464646"/>
          <w:highlight w:val="yellow"/>
        </w:rPr>
        <w:t>По вопросу замены в рамках ремонтных работ и списания сломанного монитора</w:t>
      </w:r>
      <w:proofErr w:type="gramStart"/>
      <w:r w:rsidRPr="008F1040">
        <w:rPr>
          <w:color w:val="464646"/>
          <w:highlight w:val="yellow"/>
        </w:rPr>
        <w:br/>
        <w:t>В</w:t>
      </w:r>
      <w:proofErr w:type="gramEnd"/>
      <w:r w:rsidRPr="008F1040">
        <w:rPr>
          <w:color w:val="464646"/>
          <w:highlight w:val="yellow"/>
        </w:rPr>
        <w:t xml:space="preserve"> соответствии с пунктом 4 Положения списание товара, подлежащего </w:t>
      </w:r>
      <w:proofErr w:type="spellStart"/>
      <w:r w:rsidRPr="008F1040">
        <w:rPr>
          <w:color w:val="464646"/>
          <w:highlight w:val="yellow"/>
        </w:rPr>
        <w:t>прослеживаемости</w:t>
      </w:r>
      <w:proofErr w:type="spellEnd"/>
      <w:r w:rsidRPr="008F1040">
        <w:rPr>
          <w:color w:val="464646"/>
          <w:highlight w:val="yellow"/>
        </w:rPr>
        <w:t xml:space="preserve">, со счетов бухгалтерского учета, например, в связи с поломкой или моральным износом, не является основанием прекращения </w:t>
      </w:r>
      <w:proofErr w:type="spellStart"/>
      <w:r w:rsidRPr="008F1040">
        <w:rPr>
          <w:color w:val="464646"/>
          <w:highlight w:val="yellow"/>
        </w:rPr>
        <w:t>прослеживаемости</w:t>
      </w:r>
      <w:proofErr w:type="spellEnd"/>
      <w:r w:rsidRPr="008F1040">
        <w:rPr>
          <w:color w:val="464646"/>
          <w:highlight w:val="yellow"/>
        </w:rPr>
        <w:t>.</w:t>
      </w:r>
      <w:r w:rsidRPr="008F1040">
        <w:rPr>
          <w:color w:val="464646"/>
          <w:highlight w:val="yellow"/>
        </w:rPr>
        <w:br/>
        <w:t xml:space="preserve">В этой связи операция списания со счетов бухгалтерского учета сломанного монитора не подлежит отражению в отчете об операциях с товарами, подлежащими </w:t>
      </w:r>
      <w:proofErr w:type="spellStart"/>
      <w:r w:rsidRPr="008F1040">
        <w:rPr>
          <w:color w:val="464646"/>
          <w:highlight w:val="yellow"/>
        </w:rPr>
        <w:t>прослеживаемости</w:t>
      </w:r>
      <w:proofErr w:type="spellEnd"/>
      <w:r w:rsidRPr="008F1040">
        <w:rPr>
          <w:color w:val="464646"/>
          <w:highlight w:val="yellow"/>
        </w:rPr>
        <w:t xml:space="preserve"> (далее — Отчет).</w:t>
      </w:r>
      <w:r w:rsidRPr="008F1040">
        <w:rPr>
          <w:color w:val="464646"/>
        </w:rPr>
        <w:br/>
        <w:t xml:space="preserve">По вопросу приобретения товара, подлежащего </w:t>
      </w:r>
      <w:proofErr w:type="spellStart"/>
      <w:r w:rsidRPr="008F1040">
        <w:rPr>
          <w:color w:val="464646"/>
        </w:rPr>
        <w:t>прослеживаемости</w:t>
      </w:r>
      <w:proofErr w:type="spellEnd"/>
      <w:r w:rsidRPr="008F1040">
        <w:rPr>
          <w:color w:val="464646"/>
        </w:rPr>
        <w:t>, через подотчетное лицо при отсутствии надлежащим образом оформленной доверенности, а также обязанности продавца выставлять электронный счет-фактуру при отсутствии надлежащим образом оформленной доверенности организации на подотчетное лицо</w:t>
      </w:r>
      <w:proofErr w:type="gramStart"/>
      <w:r w:rsidRPr="008F1040">
        <w:rPr>
          <w:color w:val="464646"/>
        </w:rPr>
        <w:br/>
        <w:t>П</w:t>
      </w:r>
      <w:proofErr w:type="gramEnd"/>
      <w:r w:rsidRPr="008F1040">
        <w:rPr>
          <w:color w:val="464646"/>
        </w:rPr>
        <w:t>ри приобретении организацией товара через подотчетное лицо на указанное лицо оформляется доверенность. Согласно пункту 1 статьи 185 Гражданского кодекса Российской Федерации (далее — ГК РФ) доверенностью признается письменное уполномочие, выдаваемое одним лицом другому лицу для представительства перед третьими лицами. В соответствии с пунктом 4 статьи 185.1 ГК РФ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8F1040">
        <w:rPr>
          <w:color w:val="464646"/>
        </w:rPr>
        <w:br/>
        <w:t xml:space="preserve">В соответствии с пунктом 3 статьи 168 и пункта 1.1 статьи 169 Кодекса продавец товаров, подлежащих </w:t>
      </w:r>
      <w:proofErr w:type="spellStart"/>
      <w:r w:rsidRPr="008F1040">
        <w:rPr>
          <w:color w:val="464646"/>
        </w:rPr>
        <w:t>прослеживаемости</w:t>
      </w:r>
      <w:proofErr w:type="spellEnd"/>
      <w:r w:rsidRPr="008F1040">
        <w:rPr>
          <w:color w:val="464646"/>
        </w:rPr>
        <w:t xml:space="preserve">, поскольку подотчетное лицо выступает от имени организации, обязан оформить в адрес организации электронный счет-фактуру с реквизитами </w:t>
      </w:r>
      <w:proofErr w:type="spellStart"/>
      <w:r w:rsidRPr="008F1040">
        <w:rPr>
          <w:color w:val="464646"/>
        </w:rPr>
        <w:t>прослеживаемости</w:t>
      </w:r>
      <w:proofErr w:type="spellEnd"/>
      <w:r w:rsidRPr="008F1040">
        <w:rPr>
          <w:color w:val="464646"/>
        </w:rPr>
        <w:t>.</w:t>
      </w:r>
      <w:r w:rsidRPr="008F1040">
        <w:rPr>
          <w:color w:val="464646"/>
        </w:rPr>
        <w:br/>
        <w:t>Вместе с тем в случае, когда подотчетное лицо не заявляет о себе как о представителе организации (не имеет доверенности), приобретение товара оформляется в порядке, предусмотренном для договора розничной купли-продажи.</w:t>
      </w:r>
      <w:r w:rsidRPr="008F1040">
        <w:rPr>
          <w:color w:val="464646"/>
        </w:rPr>
        <w:br/>
      </w:r>
      <w:proofErr w:type="gramStart"/>
      <w:r w:rsidRPr="008F1040">
        <w:rPr>
          <w:color w:val="464646"/>
        </w:rPr>
        <w:t>В этой связи в соответствии с законодательством Российской Федерации для надлежащего соблюдения покупателем положений законодательства о национальной системе</w:t>
      </w:r>
      <w:proofErr w:type="gramEnd"/>
      <w:r w:rsidRPr="008F1040">
        <w:rPr>
          <w:color w:val="464646"/>
        </w:rPr>
        <w:t xml:space="preserve"> </w:t>
      </w:r>
      <w:proofErr w:type="spellStart"/>
      <w:r w:rsidRPr="008F1040">
        <w:rPr>
          <w:color w:val="464646"/>
        </w:rPr>
        <w:t>прослеживаемости</w:t>
      </w:r>
      <w:proofErr w:type="spellEnd"/>
      <w:r w:rsidRPr="008F1040">
        <w:rPr>
          <w:color w:val="464646"/>
        </w:rPr>
        <w:t xml:space="preserve"> товаров и корректного оформления продавцом товаров, подлежащих </w:t>
      </w:r>
      <w:proofErr w:type="spellStart"/>
      <w:r w:rsidRPr="008F1040">
        <w:rPr>
          <w:color w:val="464646"/>
        </w:rPr>
        <w:t>прослеживаемости</w:t>
      </w:r>
      <w:proofErr w:type="spellEnd"/>
      <w:r w:rsidRPr="008F1040">
        <w:rPr>
          <w:color w:val="464646"/>
        </w:rPr>
        <w:t>, документов организация, приобретающая товары через подотчетное лицо, оформляет на подотчетное лицо доверенность.</w:t>
      </w:r>
      <w:r w:rsidRPr="008F1040">
        <w:rPr>
          <w:color w:val="464646"/>
        </w:rPr>
        <w:br/>
        <w:t xml:space="preserve">По вопросу </w:t>
      </w:r>
      <w:proofErr w:type="spellStart"/>
      <w:r w:rsidRPr="008F1040">
        <w:rPr>
          <w:color w:val="464646"/>
        </w:rPr>
        <w:t>прослеживаемости</w:t>
      </w:r>
      <w:proofErr w:type="spellEnd"/>
      <w:r w:rsidRPr="008F1040">
        <w:rPr>
          <w:color w:val="464646"/>
        </w:rPr>
        <w:t xml:space="preserve"> товара, включенного в комплект (набор), а также по вопросу </w:t>
      </w:r>
      <w:proofErr w:type="spellStart"/>
      <w:r w:rsidRPr="008F1040">
        <w:rPr>
          <w:color w:val="464646"/>
        </w:rPr>
        <w:t>прослеживаемости</w:t>
      </w:r>
      <w:proofErr w:type="spellEnd"/>
      <w:r w:rsidRPr="008F1040">
        <w:rPr>
          <w:color w:val="464646"/>
        </w:rPr>
        <w:t xml:space="preserve"> моноблока</w:t>
      </w:r>
      <w:proofErr w:type="gramStart"/>
      <w:r w:rsidRPr="008F1040">
        <w:rPr>
          <w:color w:val="464646"/>
        </w:rPr>
        <w:br/>
        <w:t>В</w:t>
      </w:r>
      <w:proofErr w:type="gramEnd"/>
      <w:r w:rsidRPr="008F1040">
        <w:rPr>
          <w:color w:val="464646"/>
        </w:rPr>
        <w:t xml:space="preserve"> случае объединения товаров в набор (комплект), например, включения монитора в </w:t>
      </w:r>
      <w:r w:rsidRPr="008F1040">
        <w:rPr>
          <w:color w:val="464646"/>
        </w:rPr>
        <w:lastRenderedPageBreak/>
        <w:t xml:space="preserve">состав автоматизированного рабочего места (далее — АРМ), данное включение товара в набор (комплект) не является основанием для прекращения </w:t>
      </w:r>
      <w:proofErr w:type="spellStart"/>
      <w:r w:rsidRPr="008F1040">
        <w:rPr>
          <w:color w:val="464646"/>
        </w:rPr>
        <w:t>прослеживаемости</w:t>
      </w:r>
      <w:proofErr w:type="spellEnd"/>
      <w:r w:rsidRPr="008F1040">
        <w:rPr>
          <w:color w:val="464646"/>
        </w:rPr>
        <w:t xml:space="preserve"> таких товаров, поскольку не происходит переработки товара, изменения его первоначальных физических характеристик, товар не становится неотъемлемой частью другого имущества.</w:t>
      </w:r>
      <w:r w:rsidRPr="008F1040">
        <w:rPr>
          <w:color w:val="464646"/>
        </w:rPr>
        <w:br/>
        <w:t xml:space="preserve">При последующей реализации АРМ, поскольку в состав набора (комплекта) входит товар, подлежащий </w:t>
      </w:r>
      <w:proofErr w:type="spellStart"/>
      <w:r w:rsidRPr="008F1040">
        <w:rPr>
          <w:color w:val="464646"/>
        </w:rPr>
        <w:t>прослеживаемости</w:t>
      </w:r>
      <w:proofErr w:type="spellEnd"/>
      <w:r w:rsidRPr="008F1040">
        <w:rPr>
          <w:color w:val="464646"/>
        </w:rPr>
        <w:t xml:space="preserve">, счет-фактура или универсальный передаточный документ подлежит формированию в электронной форме. При этом в новых графах счета-фактуры, содержащих реквизиты </w:t>
      </w:r>
      <w:proofErr w:type="spellStart"/>
      <w:r w:rsidRPr="008F1040">
        <w:rPr>
          <w:color w:val="464646"/>
        </w:rPr>
        <w:t>прослеживаемости</w:t>
      </w:r>
      <w:proofErr w:type="spellEnd"/>
      <w:r w:rsidRPr="008F1040">
        <w:rPr>
          <w:color w:val="464646"/>
        </w:rPr>
        <w:t xml:space="preserve">, подлежат отражению реквизиты </w:t>
      </w:r>
      <w:proofErr w:type="spellStart"/>
      <w:r w:rsidRPr="008F1040">
        <w:rPr>
          <w:color w:val="464646"/>
        </w:rPr>
        <w:t>прослеживаемости</w:t>
      </w:r>
      <w:proofErr w:type="spellEnd"/>
      <w:r w:rsidRPr="008F1040">
        <w:rPr>
          <w:color w:val="464646"/>
        </w:rPr>
        <w:t xml:space="preserve"> по каждому товару, подлежащему </w:t>
      </w:r>
      <w:proofErr w:type="spellStart"/>
      <w:r w:rsidRPr="008F1040">
        <w:rPr>
          <w:color w:val="464646"/>
        </w:rPr>
        <w:t>прослеживаемости</w:t>
      </w:r>
      <w:proofErr w:type="spellEnd"/>
      <w:r w:rsidRPr="008F1040">
        <w:rPr>
          <w:color w:val="464646"/>
        </w:rPr>
        <w:t>, включенному в набор (комплект), в подстроках к строке с набором (комплектом).</w:t>
      </w:r>
      <w:r w:rsidRPr="008F1040">
        <w:rPr>
          <w:color w:val="464646"/>
        </w:rPr>
        <w:br/>
      </w:r>
      <w:proofErr w:type="spellStart"/>
      <w:r w:rsidRPr="008F1040">
        <w:rPr>
          <w:color w:val="464646"/>
        </w:rPr>
        <w:t>КонсультантПлюс</w:t>
      </w:r>
      <w:proofErr w:type="spellEnd"/>
      <w:r w:rsidRPr="008F1040">
        <w:rPr>
          <w:color w:val="464646"/>
        </w:rPr>
        <w:t>: примечание.</w:t>
      </w:r>
      <w:r w:rsidRPr="008F1040">
        <w:rPr>
          <w:color w:val="464646"/>
        </w:rPr>
        <w:br/>
        <w:t xml:space="preserve">В тексте документа, видимо, допущена опечатка: имеется в виду Перечень товаров, подлежащих </w:t>
      </w:r>
      <w:proofErr w:type="spellStart"/>
      <w:r w:rsidRPr="008F1040">
        <w:rPr>
          <w:color w:val="464646"/>
        </w:rPr>
        <w:t>прослеживаемости</w:t>
      </w:r>
      <w:proofErr w:type="spellEnd"/>
      <w:r w:rsidRPr="008F1040">
        <w:rPr>
          <w:color w:val="464646"/>
        </w:rPr>
        <w:t>, утвержденный Постановлением Правительства РФ от 01.07.2021 N 1110.</w:t>
      </w:r>
      <w:r w:rsidRPr="008F1040">
        <w:rPr>
          <w:color w:val="464646"/>
        </w:rPr>
        <w:br/>
        <w:t xml:space="preserve">Что касается приобретения моноблока, поскольку код единой Товарной номенклатуры внешнеэкономической деятельности Евразийского экономического союза (далее — ТН ВЭД ЕАЭС) товарной группы 8471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к которой относятся моноблоки, не соответствует кодам ТН ВЭД ЕАЭС, поименованным в Перечне товаров, моноблоки </w:t>
      </w:r>
      <w:proofErr w:type="spellStart"/>
      <w:r w:rsidRPr="008F1040">
        <w:rPr>
          <w:color w:val="464646"/>
        </w:rPr>
        <w:t>прослеживаемости</w:t>
      </w:r>
      <w:proofErr w:type="spellEnd"/>
      <w:r w:rsidRPr="008F1040">
        <w:rPr>
          <w:color w:val="464646"/>
        </w:rPr>
        <w:t xml:space="preserve"> не подлежат.</w:t>
      </w:r>
      <w:r w:rsidRPr="008F1040">
        <w:rPr>
          <w:color w:val="464646"/>
        </w:rPr>
        <w:br/>
        <w:t xml:space="preserve">По вопросу обязанности покупателя проверять достоверность сведений о товаре, подлежащем </w:t>
      </w:r>
      <w:proofErr w:type="spellStart"/>
      <w:r w:rsidRPr="008F1040">
        <w:rPr>
          <w:color w:val="464646"/>
        </w:rPr>
        <w:t>прослеживаемости</w:t>
      </w:r>
      <w:proofErr w:type="spellEnd"/>
      <w:r w:rsidRPr="008F1040">
        <w:rPr>
          <w:color w:val="464646"/>
        </w:rPr>
        <w:t>, при его приемке</w:t>
      </w:r>
      <w:r w:rsidRPr="008F1040">
        <w:rPr>
          <w:color w:val="464646"/>
        </w:rPr>
        <w:br/>
        <w:t xml:space="preserve">Согласно пункту 13 Положения при приобретении товаров, подлежащих </w:t>
      </w:r>
      <w:proofErr w:type="spellStart"/>
      <w:r w:rsidRPr="008F1040">
        <w:rPr>
          <w:color w:val="464646"/>
        </w:rPr>
        <w:t>прослеживаемости</w:t>
      </w:r>
      <w:proofErr w:type="spellEnd"/>
      <w:r w:rsidRPr="008F1040">
        <w:rPr>
          <w:color w:val="464646"/>
        </w:rPr>
        <w:t>, покупатель обязан удостовериться в наличии и правильности указанного в счете-фактуре, в том числе корректировочном, в универсальном передаточном документе, универсальном корректировочном документе РНПТ.</w:t>
      </w:r>
      <w:r w:rsidRPr="008F1040">
        <w:rPr>
          <w:color w:val="464646"/>
        </w:rPr>
        <w:br/>
        <w:t>В целях исполнения указанной обязанности налогоплательщик вправе использовать специальный сервис, размещенный на официальном сайте ФНС России (https://www.nalog.gov.ru/), «Проверка регистрационного номера партии товара», позволяющий определить достоверность и правильность РНПТ, указанного продавцом в счете-фактуре или универсальном передаточном документе.</w:t>
      </w:r>
      <w:r w:rsidRPr="008F1040">
        <w:rPr>
          <w:color w:val="464646"/>
        </w:rPr>
        <w:br/>
        <w:t xml:space="preserve">По вопросу отражения получения на безвозмездной основе от физических лиц товаров, подлежащих </w:t>
      </w:r>
      <w:proofErr w:type="spellStart"/>
      <w:r w:rsidRPr="008F1040">
        <w:rPr>
          <w:color w:val="464646"/>
        </w:rPr>
        <w:t>прослеживаемости</w:t>
      </w:r>
      <w:proofErr w:type="spellEnd"/>
      <w:r w:rsidRPr="008F1040">
        <w:rPr>
          <w:color w:val="464646"/>
        </w:rPr>
        <w:t>, которые впоследствии не предполагается продавать</w:t>
      </w:r>
      <w:proofErr w:type="gramStart"/>
      <w:r w:rsidRPr="008F1040">
        <w:rPr>
          <w:color w:val="464646"/>
        </w:rPr>
        <w:br/>
        <w:t>В</w:t>
      </w:r>
      <w:proofErr w:type="gramEnd"/>
      <w:r w:rsidRPr="008F1040">
        <w:rPr>
          <w:color w:val="464646"/>
        </w:rPr>
        <w:t xml:space="preserve"> соответствии с пунктом 28 Положения перед совершением операций с товарами, подлежащими </w:t>
      </w:r>
      <w:proofErr w:type="spellStart"/>
      <w:r w:rsidRPr="008F1040">
        <w:rPr>
          <w:color w:val="464646"/>
        </w:rPr>
        <w:t>прослеживаемости</w:t>
      </w:r>
      <w:proofErr w:type="spellEnd"/>
      <w:r w:rsidRPr="008F1040">
        <w:rPr>
          <w:color w:val="464646"/>
        </w:rPr>
        <w:t xml:space="preserve"> (например, реализация или передача в производство на переработку), полученными от физических лиц, необходимо представить Уведомление об остатках. Согласно порядку заполнения Уведомления об остатках, утвержденного Приказом, в данной ситуации необходимо сформировать Уведомление об остатках с признаком «1».</w:t>
      </w:r>
      <w:r w:rsidRPr="008F1040">
        <w:rPr>
          <w:color w:val="464646"/>
        </w:rPr>
        <w:br/>
        <w:t>По вопросу отсутствия РНПТ в выставленном продавцом счете-фактуре или универсальном передаточном документе, а также представления Отчета на бумажном носителе</w:t>
      </w:r>
      <w:proofErr w:type="gramStart"/>
      <w:r w:rsidRPr="008F1040">
        <w:rPr>
          <w:color w:val="464646"/>
        </w:rPr>
        <w:br/>
        <w:t>В</w:t>
      </w:r>
      <w:proofErr w:type="gramEnd"/>
      <w:r w:rsidRPr="008F1040">
        <w:rPr>
          <w:color w:val="464646"/>
        </w:rPr>
        <w:t xml:space="preserve"> соответствии с порядком заполнения Отчета и форматом представления Отчета, утвержденными Приказом, строка 10 «Регистрационный номер партии товара, подлежащего </w:t>
      </w:r>
      <w:proofErr w:type="spellStart"/>
      <w:r w:rsidRPr="008F1040">
        <w:rPr>
          <w:color w:val="464646"/>
        </w:rPr>
        <w:t>прослеживаемости</w:t>
      </w:r>
      <w:proofErr w:type="spellEnd"/>
      <w:r w:rsidRPr="008F1040">
        <w:rPr>
          <w:color w:val="464646"/>
        </w:rPr>
        <w:t xml:space="preserve">» обязательна к заполнению. В этой связи </w:t>
      </w:r>
      <w:proofErr w:type="spellStart"/>
      <w:r w:rsidRPr="008F1040">
        <w:rPr>
          <w:color w:val="464646"/>
        </w:rPr>
        <w:t>незаполнение</w:t>
      </w:r>
      <w:proofErr w:type="spellEnd"/>
      <w:r w:rsidRPr="008F1040">
        <w:rPr>
          <w:color w:val="464646"/>
        </w:rPr>
        <w:t xml:space="preserve"> строки противоречит утвержденному формату.</w:t>
      </w:r>
      <w:r w:rsidRPr="008F1040">
        <w:rPr>
          <w:color w:val="464646"/>
        </w:rPr>
        <w:br/>
      </w:r>
      <w:proofErr w:type="gramStart"/>
      <w:r w:rsidRPr="008F1040">
        <w:rPr>
          <w:color w:val="464646"/>
        </w:rPr>
        <w:t xml:space="preserve">Согласно пункту 13 Положения поставщик при реализации товаров, подлежащих </w:t>
      </w:r>
      <w:proofErr w:type="spellStart"/>
      <w:r w:rsidRPr="008F1040">
        <w:rPr>
          <w:color w:val="464646"/>
        </w:rPr>
        <w:t>прослеживаемости</w:t>
      </w:r>
      <w:proofErr w:type="spellEnd"/>
      <w:r w:rsidRPr="008F1040">
        <w:rPr>
          <w:color w:val="464646"/>
        </w:rPr>
        <w:t xml:space="preserve">, обязан обеспечить наличие и правильность указания реквизитов </w:t>
      </w:r>
      <w:proofErr w:type="spellStart"/>
      <w:r w:rsidRPr="008F1040">
        <w:rPr>
          <w:color w:val="464646"/>
        </w:rPr>
        <w:t>прослеживаемости</w:t>
      </w:r>
      <w:proofErr w:type="spellEnd"/>
      <w:r w:rsidRPr="008F1040">
        <w:rPr>
          <w:color w:val="464646"/>
        </w:rPr>
        <w:t xml:space="preserve">, в том числе РНПТ, в счетах-фактурах и универсальных передаточных документах, а покупатель при приобретении товаров, подлежащих </w:t>
      </w:r>
      <w:proofErr w:type="spellStart"/>
      <w:r w:rsidRPr="008F1040">
        <w:rPr>
          <w:color w:val="464646"/>
        </w:rPr>
        <w:t>прослеживаемости</w:t>
      </w:r>
      <w:proofErr w:type="spellEnd"/>
      <w:r w:rsidRPr="008F1040">
        <w:rPr>
          <w:color w:val="464646"/>
        </w:rPr>
        <w:t xml:space="preserve">, в </w:t>
      </w:r>
      <w:r w:rsidRPr="008F1040">
        <w:rPr>
          <w:color w:val="464646"/>
        </w:rPr>
        <w:lastRenderedPageBreak/>
        <w:t>свою очередь, обязан удостовериться в наличии и правильности указанного в счете-фактуре и универсальном передаточном документе РНПТ, а также обеспечить правильность его указания в документах</w:t>
      </w:r>
      <w:proofErr w:type="gramEnd"/>
      <w:r w:rsidRPr="008F1040">
        <w:rPr>
          <w:color w:val="464646"/>
        </w:rPr>
        <w:t xml:space="preserve">, </w:t>
      </w:r>
      <w:proofErr w:type="gramStart"/>
      <w:r w:rsidRPr="008F1040">
        <w:rPr>
          <w:color w:val="464646"/>
        </w:rPr>
        <w:t>содержащих</w:t>
      </w:r>
      <w:proofErr w:type="gramEnd"/>
      <w:r w:rsidRPr="008F1040">
        <w:rPr>
          <w:color w:val="464646"/>
        </w:rPr>
        <w:t xml:space="preserve"> реквизиты </w:t>
      </w:r>
      <w:proofErr w:type="spellStart"/>
      <w:r w:rsidRPr="008F1040">
        <w:rPr>
          <w:color w:val="464646"/>
        </w:rPr>
        <w:t>прослеживаемости</w:t>
      </w:r>
      <w:proofErr w:type="spellEnd"/>
      <w:r w:rsidRPr="008F1040">
        <w:rPr>
          <w:color w:val="464646"/>
        </w:rPr>
        <w:t>, Отчете.</w:t>
      </w:r>
      <w:r w:rsidRPr="008F1040">
        <w:rPr>
          <w:color w:val="464646"/>
        </w:rPr>
        <w:br/>
        <w:t xml:space="preserve">В силу положений Правил заполнения счета-фактуры, утвержденных постановлением Правительства от 26.12.2011 N 1137 «О формах и правилах заполнения (ведения) документов, применяемых при расчетах по налогу на добавленную стоимость», при наличии в счетах-фактурах ошибок в реквизитах </w:t>
      </w:r>
      <w:proofErr w:type="spellStart"/>
      <w:r w:rsidRPr="008F1040">
        <w:rPr>
          <w:color w:val="464646"/>
        </w:rPr>
        <w:t>прослеживаемости</w:t>
      </w:r>
      <w:proofErr w:type="spellEnd"/>
      <w:r w:rsidRPr="008F1040">
        <w:rPr>
          <w:color w:val="464646"/>
        </w:rPr>
        <w:t xml:space="preserve"> продавец товара, подлежащего </w:t>
      </w:r>
      <w:proofErr w:type="spellStart"/>
      <w:r w:rsidRPr="008F1040">
        <w:rPr>
          <w:color w:val="464646"/>
        </w:rPr>
        <w:t>прослеживаемости</w:t>
      </w:r>
      <w:proofErr w:type="spellEnd"/>
      <w:r w:rsidRPr="008F1040">
        <w:rPr>
          <w:color w:val="464646"/>
        </w:rPr>
        <w:t>, составляет исправленный счет-фактуру.</w:t>
      </w:r>
      <w:r w:rsidRPr="008F1040">
        <w:rPr>
          <w:color w:val="464646"/>
        </w:rPr>
        <w:br/>
        <w:t>В этой связи при отсутствии в полученном от поставщика счете-фактуре либо универсальном передаточном документе РНПТ покупателю следует обратиться к поставщику с целью оформления исправленного счета-фактуры либо исправленного универсального передаточного документа и указания в нем корректного РНПТ последним.</w:t>
      </w:r>
      <w:r w:rsidRPr="008F1040">
        <w:rPr>
          <w:color w:val="464646"/>
        </w:rPr>
        <w:br/>
        <w:t>Согласно пункту 33 Положения Отчет представляется в электронной форме по телекоммуникационным каналам связи через оператора электронного документооборота по форме и формату, утвержденным Приказом.</w:t>
      </w:r>
      <w:r w:rsidRPr="008F1040">
        <w:rPr>
          <w:color w:val="464646"/>
        </w:rPr>
        <w:br/>
        <w:t xml:space="preserve">Как указано выше, в рамках переходного периода (не менее 1 года), необходимого для адаптации программного обеспечения, не устанавливаются нормы, предусматривающие ответственность налогоплательщиков за нарушения положений законодательства о национальной системе </w:t>
      </w:r>
      <w:proofErr w:type="spellStart"/>
      <w:r w:rsidRPr="008F1040">
        <w:rPr>
          <w:color w:val="464646"/>
        </w:rPr>
        <w:t>прослеживаемости</w:t>
      </w:r>
      <w:proofErr w:type="spellEnd"/>
      <w:r w:rsidRPr="008F1040">
        <w:rPr>
          <w:color w:val="464646"/>
        </w:rPr>
        <w:t xml:space="preserve"> товаров.</w:t>
      </w:r>
      <w:r w:rsidRPr="008F1040">
        <w:rPr>
          <w:color w:val="464646"/>
        </w:rPr>
        <w:br/>
        <w:t xml:space="preserve">По вопросу проведения дополнительных проверок в случае приобретения товаров, подлежащих </w:t>
      </w:r>
      <w:proofErr w:type="spellStart"/>
      <w:r w:rsidRPr="008F1040">
        <w:rPr>
          <w:color w:val="464646"/>
        </w:rPr>
        <w:t>прослеживаемости</w:t>
      </w:r>
      <w:proofErr w:type="spellEnd"/>
      <w:r w:rsidRPr="008F1040">
        <w:rPr>
          <w:color w:val="464646"/>
        </w:rPr>
        <w:t>, у физических лиц</w:t>
      </w:r>
      <w:proofErr w:type="gramStart"/>
      <w:r w:rsidRPr="008F1040">
        <w:rPr>
          <w:color w:val="464646"/>
        </w:rPr>
        <w:br/>
        <w:t>Н</w:t>
      </w:r>
      <w:proofErr w:type="gramEnd"/>
      <w:r w:rsidRPr="008F1040">
        <w:rPr>
          <w:color w:val="464646"/>
        </w:rPr>
        <w:t xml:space="preserve">а данный момент Кодекс и законодательство о национальной системе </w:t>
      </w:r>
      <w:proofErr w:type="spellStart"/>
      <w:r w:rsidRPr="008F1040">
        <w:rPr>
          <w:color w:val="464646"/>
        </w:rPr>
        <w:t>прослеживаемости</w:t>
      </w:r>
      <w:proofErr w:type="spellEnd"/>
      <w:r w:rsidRPr="008F1040">
        <w:rPr>
          <w:color w:val="464646"/>
        </w:rPr>
        <w:t xml:space="preserve"> не содержат положений, устанавливающих нормы о проведении дополнительных проверок налогоплательщиков в случае приобретения ими товаров, подлежащих </w:t>
      </w:r>
      <w:proofErr w:type="spellStart"/>
      <w:r w:rsidRPr="008F1040">
        <w:rPr>
          <w:color w:val="464646"/>
        </w:rPr>
        <w:t>прослеживаемости</w:t>
      </w:r>
      <w:proofErr w:type="spellEnd"/>
      <w:r w:rsidRPr="008F1040">
        <w:rPr>
          <w:color w:val="464646"/>
        </w:rPr>
        <w:t>, у физических лиц.</w:t>
      </w:r>
    </w:p>
    <w:p w:rsidR="008F1040" w:rsidRPr="008F1040" w:rsidRDefault="008F1040" w:rsidP="008F1040">
      <w:pPr>
        <w:pStyle w:val="a3"/>
        <w:shd w:val="clear" w:color="auto" w:fill="FFFFFF"/>
        <w:spacing w:before="240" w:beforeAutospacing="0" w:after="240" w:afterAutospacing="0"/>
        <w:jc w:val="right"/>
        <w:rPr>
          <w:color w:val="464646"/>
        </w:rPr>
      </w:pPr>
      <w:r w:rsidRPr="008F1040">
        <w:rPr>
          <w:color w:val="464646"/>
        </w:rPr>
        <w:t>Действительный</w:t>
      </w:r>
      <w:r w:rsidRPr="008F1040">
        <w:rPr>
          <w:color w:val="464646"/>
        </w:rPr>
        <w:br/>
        <w:t>государственный советник</w:t>
      </w:r>
      <w:r w:rsidRPr="008F1040">
        <w:rPr>
          <w:color w:val="464646"/>
        </w:rPr>
        <w:br/>
        <w:t>Российской Федерации</w:t>
      </w:r>
      <w:r w:rsidRPr="008F1040">
        <w:rPr>
          <w:color w:val="464646"/>
        </w:rPr>
        <w:br/>
        <w:t>3 класса</w:t>
      </w:r>
      <w:r w:rsidRPr="008F1040">
        <w:rPr>
          <w:color w:val="464646"/>
        </w:rPr>
        <w:br/>
        <w:t>А.В.ЕГОРИЧЕВ</w:t>
      </w:r>
    </w:p>
    <w:p w:rsidR="008F1040" w:rsidRDefault="008F1040"/>
    <w:sectPr w:rsidR="008F1040" w:rsidSect="00F72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_pt_demi_re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6FEF"/>
    <w:multiLevelType w:val="multilevel"/>
    <w:tmpl w:val="02C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D43C5"/>
    <w:multiLevelType w:val="multilevel"/>
    <w:tmpl w:val="456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A23C2"/>
    <w:multiLevelType w:val="multilevel"/>
    <w:tmpl w:val="153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A512E"/>
    <w:multiLevelType w:val="multilevel"/>
    <w:tmpl w:val="3AF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E1A85"/>
    <w:multiLevelType w:val="multilevel"/>
    <w:tmpl w:val="0886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32F25"/>
    <w:multiLevelType w:val="multilevel"/>
    <w:tmpl w:val="D89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63A98"/>
    <w:multiLevelType w:val="multilevel"/>
    <w:tmpl w:val="746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363664"/>
    <w:rsid w:val="001E1500"/>
    <w:rsid w:val="002C3B97"/>
    <w:rsid w:val="00363664"/>
    <w:rsid w:val="00364DC6"/>
    <w:rsid w:val="00452E44"/>
    <w:rsid w:val="00587864"/>
    <w:rsid w:val="008872E9"/>
    <w:rsid w:val="008F1040"/>
    <w:rsid w:val="00B52D39"/>
    <w:rsid w:val="00D37229"/>
    <w:rsid w:val="00DE1B56"/>
    <w:rsid w:val="00E70CB4"/>
    <w:rsid w:val="00F7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DE"/>
  </w:style>
  <w:style w:type="paragraph" w:styleId="1">
    <w:name w:val="heading 1"/>
    <w:basedOn w:val="a"/>
    <w:link w:val="10"/>
    <w:uiPriority w:val="9"/>
    <w:qFormat/>
    <w:rsid w:val="00363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3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7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6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6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63664"/>
  </w:style>
  <w:style w:type="character" w:styleId="a4">
    <w:name w:val="Hyperlink"/>
    <w:basedOn w:val="a0"/>
    <w:uiPriority w:val="99"/>
    <w:semiHidden/>
    <w:unhideWhenUsed/>
    <w:rsid w:val="00363664"/>
    <w:rPr>
      <w:color w:val="0000FF"/>
      <w:u w:val="single"/>
    </w:rPr>
  </w:style>
  <w:style w:type="character" w:styleId="a5">
    <w:name w:val="Emphasis"/>
    <w:basedOn w:val="a0"/>
    <w:uiPriority w:val="20"/>
    <w:qFormat/>
    <w:rsid w:val="001E1500"/>
    <w:rPr>
      <w:i/>
      <w:iCs/>
    </w:rPr>
  </w:style>
  <w:style w:type="character" w:styleId="a6">
    <w:name w:val="Strong"/>
    <w:basedOn w:val="a0"/>
    <w:uiPriority w:val="22"/>
    <w:qFormat/>
    <w:rsid w:val="001E1500"/>
    <w:rPr>
      <w:b/>
      <w:bCs/>
    </w:rPr>
  </w:style>
  <w:style w:type="character" w:customStyle="1" w:styleId="a7">
    <w:name w:val="Цветовое выделение"/>
    <w:uiPriority w:val="99"/>
    <w:rsid w:val="00587864"/>
    <w:rPr>
      <w:b/>
      <w:bCs/>
      <w:color w:val="26282F"/>
    </w:rPr>
  </w:style>
  <w:style w:type="character" w:customStyle="1" w:styleId="a8">
    <w:name w:val="Гипертекстовая ссылка"/>
    <w:basedOn w:val="a7"/>
    <w:uiPriority w:val="99"/>
    <w:rsid w:val="00587864"/>
    <w:rPr>
      <w:color w:val="106BBE"/>
    </w:rPr>
  </w:style>
  <w:style w:type="character" w:customStyle="1" w:styleId="30">
    <w:name w:val="Заголовок 3 Знак"/>
    <w:basedOn w:val="a0"/>
    <w:link w:val="3"/>
    <w:uiPriority w:val="9"/>
    <w:semiHidden/>
    <w:rsid w:val="00587864"/>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5878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7864"/>
    <w:rPr>
      <w:rFonts w:ascii="Tahoma" w:hAnsi="Tahoma" w:cs="Tahoma"/>
      <w:sz w:val="16"/>
      <w:szCs w:val="16"/>
    </w:rPr>
  </w:style>
  <w:style w:type="character" w:customStyle="1" w:styleId="20">
    <w:name w:val="Заголовок 2 Знак"/>
    <w:basedOn w:val="a0"/>
    <w:link w:val="2"/>
    <w:uiPriority w:val="9"/>
    <w:semiHidden/>
    <w:rsid w:val="002C3B97"/>
    <w:rPr>
      <w:rFonts w:asciiTheme="majorHAnsi" w:eastAsiaTheme="majorEastAsia" w:hAnsiTheme="majorHAnsi" w:cstheme="majorBidi"/>
      <w:b/>
      <w:bCs/>
      <w:color w:val="4F81BD" w:themeColor="accent1"/>
      <w:sz w:val="26"/>
      <w:szCs w:val="26"/>
    </w:rPr>
  </w:style>
  <w:style w:type="character" w:customStyle="1" w:styleId="comments-buttonlabel">
    <w:name w:val="comments-button__label"/>
    <w:basedOn w:val="a0"/>
    <w:rsid w:val="00DE1B56"/>
  </w:style>
  <w:style w:type="character" w:customStyle="1" w:styleId="visually-hidden">
    <w:name w:val="visually-hidden"/>
    <w:basedOn w:val="a0"/>
    <w:rsid w:val="00DE1B56"/>
  </w:style>
  <w:style w:type="character" w:customStyle="1" w:styleId="core-count-format">
    <w:name w:val="core-count-format"/>
    <w:basedOn w:val="a0"/>
    <w:rsid w:val="00DE1B56"/>
  </w:style>
  <w:style w:type="paragraph" w:customStyle="1" w:styleId="no-indent">
    <w:name w:val="no-indent"/>
    <w:basedOn w:val="a"/>
    <w:rsid w:val="00D37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2">
    <w:name w:val="mb-32"/>
    <w:basedOn w:val="a"/>
    <w:rsid w:val="008F1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8F1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s">
    <w:name w:val="sources"/>
    <w:basedOn w:val="a"/>
    <w:rsid w:val="008F1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289186">
      <w:bodyDiv w:val="1"/>
      <w:marLeft w:val="0"/>
      <w:marRight w:val="0"/>
      <w:marTop w:val="0"/>
      <w:marBottom w:val="0"/>
      <w:divBdr>
        <w:top w:val="none" w:sz="0" w:space="0" w:color="auto"/>
        <w:left w:val="none" w:sz="0" w:space="0" w:color="auto"/>
        <w:bottom w:val="none" w:sz="0" w:space="0" w:color="auto"/>
        <w:right w:val="none" w:sz="0" w:space="0" w:color="auto"/>
      </w:divBdr>
    </w:div>
    <w:div w:id="335109117">
      <w:bodyDiv w:val="1"/>
      <w:marLeft w:val="0"/>
      <w:marRight w:val="0"/>
      <w:marTop w:val="0"/>
      <w:marBottom w:val="0"/>
      <w:divBdr>
        <w:top w:val="none" w:sz="0" w:space="0" w:color="auto"/>
        <w:left w:val="none" w:sz="0" w:space="0" w:color="auto"/>
        <w:bottom w:val="none" w:sz="0" w:space="0" w:color="auto"/>
        <w:right w:val="none" w:sz="0" w:space="0" w:color="auto"/>
      </w:divBdr>
      <w:divsChild>
        <w:div w:id="1581283847">
          <w:marLeft w:val="0"/>
          <w:marRight w:val="0"/>
          <w:marTop w:val="0"/>
          <w:marBottom w:val="0"/>
          <w:divBdr>
            <w:top w:val="none" w:sz="0" w:space="0" w:color="auto"/>
            <w:left w:val="none" w:sz="0" w:space="0" w:color="auto"/>
            <w:bottom w:val="none" w:sz="0" w:space="0" w:color="auto"/>
            <w:right w:val="none" w:sz="0" w:space="0" w:color="auto"/>
          </w:divBdr>
        </w:div>
        <w:div w:id="43065751">
          <w:marLeft w:val="0"/>
          <w:marRight w:val="0"/>
          <w:marTop w:val="0"/>
          <w:marBottom w:val="0"/>
          <w:divBdr>
            <w:top w:val="none" w:sz="0" w:space="0" w:color="auto"/>
            <w:left w:val="none" w:sz="0" w:space="0" w:color="auto"/>
            <w:bottom w:val="none" w:sz="0" w:space="0" w:color="auto"/>
            <w:right w:val="none" w:sz="0" w:space="0" w:color="auto"/>
          </w:divBdr>
        </w:div>
        <w:div w:id="519395043">
          <w:marLeft w:val="0"/>
          <w:marRight w:val="0"/>
          <w:marTop w:val="0"/>
          <w:marBottom w:val="0"/>
          <w:divBdr>
            <w:top w:val="none" w:sz="0" w:space="0" w:color="auto"/>
            <w:left w:val="none" w:sz="0" w:space="0" w:color="auto"/>
            <w:bottom w:val="none" w:sz="0" w:space="0" w:color="auto"/>
            <w:right w:val="none" w:sz="0" w:space="0" w:color="auto"/>
          </w:divBdr>
        </w:div>
        <w:div w:id="1393503913">
          <w:marLeft w:val="0"/>
          <w:marRight w:val="0"/>
          <w:marTop w:val="0"/>
          <w:marBottom w:val="0"/>
          <w:divBdr>
            <w:top w:val="none" w:sz="0" w:space="0" w:color="auto"/>
            <w:left w:val="none" w:sz="0" w:space="0" w:color="auto"/>
            <w:bottom w:val="none" w:sz="0" w:space="0" w:color="auto"/>
            <w:right w:val="none" w:sz="0" w:space="0" w:color="auto"/>
          </w:divBdr>
        </w:div>
      </w:divsChild>
    </w:div>
    <w:div w:id="816188287">
      <w:bodyDiv w:val="1"/>
      <w:marLeft w:val="0"/>
      <w:marRight w:val="0"/>
      <w:marTop w:val="0"/>
      <w:marBottom w:val="0"/>
      <w:divBdr>
        <w:top w:val="none" w:sz="0" w:space="0" w:color="auto"/>
        <w:left w:val="none" w:sz="0" w:space="0" w:color="auto"/>
        <w:bottom w:val="none" w:sz="0" w:space="0" w:color="auto"/>
        <w:right w:val="none" w:sz="0" w:space="0" w:color="auto"/>
      </w:divBdr>
    </w:div>
    <w:div w:id="838543668">
      <w:bodyDiv w:val="1"/>
      <w:marLeft w:val="0"/>
      <w:marRight w:val="0"/>
      <w:marTop w:val="0"/>
      <w:marBottom w:val="0"/>
      <w:divBdr>
        <w:top w:val="none" w:sz="0" w:space="0" w:color="auto"/>
        <w:left w:val="none" w:sz="0" w:space="0" w:color="auto"/>
        <w:bottom w:val="none" w:sz="0" w:space="0" w:color="auto"/>
        <w:right w:val="none" w:sz="0" w:space="0" w:color="auto"/>
      </w:divBdr>
    </w:div>
    <w:div w:id="847404265">
      <w:bodyDiv w:val="1"/>
      <w:marLeft w:val="0"/>
      <w:marRight w:val="0"/>
      <w:marTop w:val="0"/>
      <w:marBottom w:val="0"/>
      <w:divBdr>
        <w:top w:val="none" w:sz="0" w:space="0" w:color="auto"/>
        <w:left w:val="none" w:sz="0" w:space="0" w:color="auto"/>
        <w:bottom w:val="none" w:sz="0" w:space="0" w:color="auto"/>
        <w:right w:val="none" w:sz="0" w:space="0" w:color="auto"/>
      </w:divBdr>
      <w:divsChild>
        <w:div w:id="1306278676">
          <w:blockQuote w:val="1"/>
          <w:marLeft w:val="0"/>
          <w:marRight w:val="0"/>
          <w:marTop w:val="126"/>
          <w:marBottom w:val="158"/>
          <w:divBdr>
            <w:top w:val="none" w:sz="0" w:space="0" w:color="auto"/>
            <w:left w:val="none" w:sz="0" w:space="0" w:color="auto"/>
            <w:bottom w:val="none" w:sz="0" w:space="0" w:color="auto"/>
            <w:right w:val="none" w:sz="0" w:space="0" w:color="auto"/>
          </w:divBdr>
        </w:div>
        <w:div w:id="2002469308">
          <w:blockQuote w:val="1"/>
          <w:marLeft w:val="0"/>
          <w:marRight w:val="0"/>
          <w:marTop w:val="126"/>
          <w:marBottom w:val="158"/>
          <w:divBdr>
            <w:top w:val="none" w:sz="0" w:space="0" w:color="auto"/>
            <w:left w:val="none" w:sz="0" w:space="0" w:color="auto"/>
            <w:bottom w:val="none" w:sz="0" w:space="0" w:color="auto"/>
            <w:right w:val="none" w:sz="0" w:space="0" w:color="auto"/>
          </w:divBdr>
        </w:div>
      </w:divsChild>
    </w:div>
    <w:div w:id="886069612">
      <w:bodyDiv w:val="1"/>
      <w:marLeft w:val="0"/>
      <w:marRight w:val="0"/>
      <w:marTop w:val="0"/>
      <w:marBottom w:val="0"/>
      <w:divBdr>
        <w:top w:val="none" w:sz="0" w:space="0" w:color="auto"/>
        <w:left w:val="none" w:sz="0" w:space="0" w:color="auto"/>
        <w:bottom w:val="none" w:sz="0" w:space="0" w:color="auto"/>
        <w:right w:val="none" w:sz="0" w:space="0" w:color="auto"/>
      </w:divBdr>
    </w:div>
    <w:div w:id="907568094">
      <w:bodyDiv w:val="1"/>
      <w:marLeft w:val="0"/>
      <w:marRight w:val="0"/>
      <w:marTop w:val="0"/>
      <w:marBottom w:val="0"/>
      <w:divBdr>
        <w:top w:val="none" w:sz="0" w:space="0" w:color="auto"/>
        <w:left w:val="none" w:sz="0" w:space="0" w:color="auto"/>
        <w:bottom w:val="none" w:sz="0" w:space="0" w:color="auto"/>
        <w:right w:val="none" w:sz="0" w:space="0" w:color="auto"/>
      </w:divBdr>
    </w:div>
    <w:div w:id="965743805">
      <w:bodyDiv w:val="1"/>
      <w:marLeft w:val="0"/>
      <w:marRight w:val="0"/>
      <w:marTop w:val="0"/>
      <w:marBottom w:val="0"/>
      <w:divBdr>
        <w:top w:val="none" w:sz="0" w:space="0" w:color="auto"/>
        <w:left w:val="none" w:sz="0" w:space="0" w:color="auto"/>
        <w:bottom w:val="none" w:sz="0" w:space="0" w:color="auto"/>
        <w:right w:val="none" w:sz="0" w:space="0" w:color="auto"/>
      </w:divBdr>
      <w:divsChild>
        <w:div w:id="1095784989">
          <w:marLeft w:val="0"/>
          <w:marRight w:val="0"/>
          <w:marTop w:val="0"/>
          <w:marBottom w:val="101"/>
          <w:divBdr>
            <w:top w:val="none" w:sz="0" w:space="0" w:color="auto"/>
            <w:left w:val="none" w:sz="0" w:space="0" w:color="auto"/>
            <w:bottom w:val="none" w:sz="0" w:space="0" w:color="auto"/>
            <w:right w:val="none" w:sz="0" w:space="0" w:color="auto"/>
          </w:divBdr>
        </w:div>
        <w:div w:id="1081222920">
          <w:marLeft w:val="0"/>
          <w:marRight w:val="0"/>
          <w:marTop w:val="0"/>
          <w:marBottom w:val="0"/>
          <w:divBdr>
            <w:top w:val="single" w:sz="2" w:space="0" w:color="auto"/>
            <w:left w:val="single" w:sz="2" w:space="0" w:color="auto"/>
            <w:bottom w:val="single" w:sz="2" w:space="0" w:color="auto"/>
            <w:right w:val="single" w:sz="2" w:space="0" w:color="auto"/>
          </w:divBdr>
          <w:divsChild>
            <w:div w:id="1077819938">
              <w:marLeft w:val="0"/>
              <w:marRight w:val="0"/>
              <w:marTop w:val="0"/>
              <w:marBottom w:val="0"/>
              <w:divBdr>
                <w:top w:val="none" w:sz="0" w:space="0" w:color="auto"/>
                <w:left w:val="none" w:sz="0" w:space="0" w:color="auto"/>
                <w:bottom w:val="none" w:sz="0" w:space="0" w:color="auto"/>
                <w:right w:val="none" w:sz="0" w:space="0" w:color="auto"/>
              </w:divBdr>
            </w:div>
          </w:divsChild>
        </w:div>
        <w:div w:id="266353581">
          <w:marLeft w:val="0"/>
          <w:marRight w:val="0"/>
          <w:marTop w:val="0"/>
          <w:marBottom w:val="0"/>
          <w:divBdr>
            <w:top w:val="none" w:sz="0" w:space="0" w:color="auto"/>
            <w:left w:val="none" w:sz="0" w:space="0" w:color="auto"/>
            <w:bottom w:val="none" w:sz="0" w:space="0" w:color="auto"/>
            <w:right w:val="none" w:sz="0" w:space="0" w:color="auto"/>
          </w:divBdr>
          <w:divsChild>
            <w:div w:id="153835296">
              <w:marLeft w:val="0"/>
              <w:marRight w:val="0"/>
              <w:marTop w:val="0"/>
              <w:marBottom w:val="0"/>
              <w:divBdr>
                <w:top w:val="none" w:sz="0" w:space="0" w:color="auto"/>
                <w:left w:val="none" w:sz="0" w:space="0" w:color="auto"/>
                <w:bottom w:val="none" w:sz="0" w:space="0" w:color="auto"/>
                <w:right w:val="none" w:sz="0" w:space="0" w:color="auto"/>
              </w:divBdr>
              <w:divsChild>
                <w:div w:id="1753159745">
                  <w:marLeft w:val="0"/>
                  <w:marRight w:val="101"/>
                  <w:marTop w:val="0"/>
                  <w:marBottom w:val="0"/>
                  <w:divBdr>
                    <w:top w:val="none" w:sz="0" w:space="0" w:color="auto"/>
                    <w:left w:val="none" w:sz="0" w:space="0" w:color="auto"/>
                    <w:bottom w:val="none" w:sz="0" w:space="0" w:color="auto"/>
                    <w:right w:val="none" w:sz="0" w:space="0" w:color="auto"/>
                  </w:divBdr>
                </w:div>
              </w:divsChild>
            </w:div>
            <w:div w:id="142355930">
              <w:marLeft w:val="0"/>
              <w:marRight w:val="0"/>
              <w:marTop w:val="0"/>
              <w:marBottom w:val="0"/>
              <w:divBdr>
                <w:top w:val="none" w:sz="0" w:space="0" w:color="auto"/>
                <w:left w:val="none" w:sz="0" w:space="0" w:color="auto"/>
                <w:bottom w:val="none" w:sz="0" w:space="0" w:color="auto"/>
                <w:right w:val="none" w:sz="0" w:space="0" w:color="auto"/>
              </w:divBdr>
            </w:div>
          </w:divsChild>
        </w:div>
        <w:div w:id="508443266">
          <w:marLeft w:val="0"/>
          <w:marRight w:val="0"/>
          <w:marTop w:val="0"/>
          <w:marBottom w:val="0"/>
          <w:divBdr>
            <w:top w:val="none" w:sz="0" w:space="0" w:color="auto"/>
            <w:left w:val="none" w:sz="0" w:space="0" w:color="auto"/>
            <w:bottom w:val="none" w:sz="0" w:space="0" w:color="auto"/>
            <w:right w:val="none" w:sz="0" w:space="0" w:color="auto"/>
          </w:divBdr>
          <w:divsChild>
            <w:div w:id="13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1926457286">
          <w:marLeft w:val="0"/>
          <w:marRight w:val="0"/>
          <w:marTop w:val="0"/>
          <w:marBottom w:val="32"/>
          <w:divBdr>
            <w:top w:val="none" w:sz="0" w:space="0" w:color="auto"/>
            <w:left w:val="none" w:sz="0" w:space="0" w:color="auto"/>
            <w:bottom w:val="none" w:sz="0" w:space="0" w:color="auto"/>
            <w:right w:val="none" w:sz="0" w:space="0" w:color="auto"/>
          </w:divBdr>
        </w:div>
      </w:divsChild>
    </w:div>
    <w:div w:id="1355574396">
      <w:bodyDiv w:val="1"/>
      <w:marLeft w:val="0"/>
      <w:marRight w:val="0"/>
      <w:marTop w:val="0"/>
      <w:marBottom w:val="0"/>
      <w:divBdr>
        <w:top w:val="none" w:sz="0" w:space="0" w:color="auto"/>
        <w:left w:val="none" w:sz="0" w:space="0" w:color="auto"/>
        <w:bottom w:val="none" w:sz="0" w:space="0" w:color="auto"/>
        <w:right w:val="none" w:sz="0" w:space="0" w:color="auto"/>
      </w:divBdr>
    </w:div>
    <w:div w:id="1521162830">
      <w:bodyDiv w:val="1"/>
      <w:marLeft w:val="0"/>
      <w:marRight w:val="0"/>
      <w:marTop w:val="0"/>
      <w:marBottom w:val="0"/>
      <w:divBdr>
        <w:top w:val="none" w:sz="0" w:space="0" w:color="auto"/>
        <w:left w:val="none" w:sz="0" w:space="0" w:color="auto"/>
        <w:bottom w:val="none" w:sz="0" w:space="0" w:color="auto"/>
        <w:right w:val="none" w:sz="0" w:space="0" w:color="auto"/>
      </w:divBdr>
    </w:div>
    <w:div w:id="1574318118">
      <w:bodyDiv w:val="1"/>
      <w:marLeft w:val="0"/>
      <w:marRight w:val="0"/>
      <w:marTop w:val="0"/>
      <w:marBottom w:val="0"/>
      <w:divBdr>
        <w:top w:val="none" w:sz="0" w:space="0" w:color="auto"/>
        <w:left w:val="none" w:sz="0" w:space="0" w:color="auto"/>
        <w:bottom w:val="none" w:sz="0" w:space="0" w:color="auto"/>
        <w:right w:val="none" w:sz="0" w:space="0" w:color="auto"/>
      </w:divBdr>
      <w:divsChild>
        <w:div w:id="875851531">
          <w:marLeft w:val="0"/>
          <w:marRight w:val="0"/>
          <w:marTop w:val="88"/>
          <w:marBottom w:val="0"/>
          <w:divBdr>
            <w:top w:val="none" w:sz="0" w:space="0" w:color="auto"/>
            <w:left w:val="none" w:sz="0" w:space="0" w:color="auto"/>
            <w:bottom w:val="none" w:sz="0" w:space="0" w:color="auto"/>
            <w:right w:val="none" w:sz="0" w:space="0" w:color="auto"/>
          </w:divBdr>
        </w:div>
        <w:div w:id="502936650">
          <w:marLeft w:val="0"/>
          <w:marRight w:val="0"/>
          <w:marTop w:val="0"/>
          <w:marBottom w:val="0"/>
          <w:divBdr>
            <w:top w:val="none" w:sz="0" w:space="0" w:color="auto"/>
            <w:left w:val="none" w:sz="0" w:space="0" w:color="auto"/>
            <w:bottom w:val="none" w:sz="0" w:space="0" w:color="auto"/>
            <w:right w:val="none" w:sz="0" w:space="0" w:color="auto"/>
          </w:divBdr>
        </w:div>
        <w:div w:id="120078448">
          <w:marLeft w:val="0"/>
          <w:marRight w:val="0"/>
          <w:marTop w:val="0"/>
          <w:marBottom w:val="0"/>
          <w:divBdr>
            <w:top w:val="none" w:sz="0" w:space="0" w:color="auto"/>
            <w:left w:val="none" w:sz="0" w:space="0" w:color="auto"/>
            <w:bottom w:val="none" w:sz="0" w:space="0" w:color="auto"/>
            <w:right w:val="none" w:sz="0" w:space="0" w:color="auto"/>
          </w:divBdr>
        </w:div>
        <w:div w:id="551235558">
          <w:marLeft w:val="0"/>
          <w:marRight w:val="0"/>
          <w:marTop w:val="0"/>
          <w:marBottom w:val="0"/>
          <w:divBdr>
            <w:top w:val="none" w:sz="0" w:space="0" w:color="auto"/>
            <w:left w:val="none" w:sz="0" w:space="0" w:color="auto"/>
            <w:bottom w:val="none" w:sz="0" w:space="0" w:color="auto"/>
            <w:right w:val="none" w:sz="0" w:space="0" w:color="auto"/>
          </w:divBdr>
        </w:div>
        <w:div w:id="428041576">
          <w:marLeft w:val="0"/>
          <w:marRight w:val="0"/>
          <w:marTop w:val="0"/>
          <w:marBottom w:val="0"/>
          <w:divBdr>
            <w:top w:val="none" w:sz="0" w:space="0" w:color="auto"/>
            <w:left w:val="none" w:sz="0" w:space="0" w:color="auto"/>
            <w:bottom w:val="none" w:sz="0" w:space="0" w:color="auto"/>
            <w:right w:val="none" w:sz="0" w:space="0" w:color="auto"/>
          </w:divBdr>
        </w:div>
        <w:div w:id="1660687953">
          <w:marLeft w:val="0"/>
          <w:marRight w:val="0"/>
          <w:marTop w:val="0"/>
          <w:marBottom w:val="0"/>
          <w:divBdr>
            <w:top w:val="none" w:sz="0" w:space="0" w:color="auto"/>
            <w:left w:val="none" w:sz="0" w:space="0" w:color="auto"/>
            <w:bottom w:val="none" w:sz="0" w:space="0" w:color="auto"/>
            <w:right w:val="none" w:sz="0" w:space="0" w:color="auto"/>
          </w:divBdr>
        </w:div>
        <w:div w:id="681394793">
          <w:marLeft w:val="0"/>
          <w:marRight w:val="0"/>
          <w:marTop w:val="0"/>
          <w:marBottom w:val="0"/>
          <w:divBdr>
            <w:top w:val="none" w:sz="0" w:space="0" w:color="auto"/>
            <w:left w:val="none" w:sz="0" w:space="0" w:color="auto"/>
            <w:bottom w:val="none" w:sz="0" w:space="0" w:color="auto"/>
            <w:right w:val="none" w:sz="0" w:space="0" w:color="auto"/>
          </w:divBdr>
        </w:div>
      </w:divsChild>
    </w:div>
    <w:div w:id="1780950028">
      <w:bodyDiv w:val="1"/>
      <w:marLeft w:val="0"/>
      <w:marRight w:val="0"/>
      <w:marTop w:val="0"/>
      <w:marBottom w:val="0"/>
      <w:divBdr>
        <w:top w:val="none" w:sz="0" w:space="0" w:color="auto"/>
        <w:left w:val="none" w:sz="0" w:space="0" w:color="auto"/>
        <w:bottom w:val="none" w:sz="0" w:space="0" w:color="auto"/>
        <w:right w:val="none" w:sz="0" w:space="0" w:color="auto"/>
      </w:divBdr>
    </w:div>
    <w:div w:id="19175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951956/2240" TargetMode="External"/><Relationship Id="rId13" Type="http://schemas.openxmlformats.org/officeDocument/2006/relationships/hyperlink" Target="http://internet.garant.ru/document/redirect/72262020/21" TargetMode="External"/><Relationship Id="rId18" Type="http://schemas.openxmlformats.org/officeDocument/2006/relationships/hyperlink" Target="http://internet.garant.ru/document/redirect/12160266/0" TargetMode="External"/><Relationship Id="rId26" Type="http://schemas.openxmlformats.org/officeDocument/2006/relationships/hyperlink" Target="http://www.consultant.ru/document/cons_doc_LAW_365338/4202162b3f1be45ec732fa00352d93a28db03f6a/" TargetMode="External"/><Relationship Id="rId3" Type="http://schemas.openxmlformats.org/officeDocument/2006/relationships/settings" Target="settings.xml"/><Relationship Id="rId21" Type="http://schemas.openxmlformats.org/officeDocument/2006/relationships/hyperlink" Target="http://internet.garant.ru/document/redirect/5373641/139" TargetMode="External"/><Relationship Id="rId7" Type="http://schemas.openxmlformats.org/officeDocument/2006/relationships/hyperlink" Target="http://internet.garant.ru/document/redirect/70951956/2240" TargetMode="External"/><Relationship Id="rId12" Type="http://schemas.openxmlformats.org/officeDocument/2006/relationships/hyperlink" Target="http://internet.garant.ru/document/redirect/12130951/1204" TargetMode="External"/><Relationship Id="rId17" Type="http://schemas.openxmlformats.org/officeDocument/2006/relationships/hyperlink" Target="http://internet.garant.ru/document/redirect/12160266/1005" TargetMode="External"/><Relationship Id="rId25" Type="http://schemas.openxmlformats.org/officeDocument/2006/relationships/hyperlink" Target="http://www.consultant.ru/document/cons_doc_LAW_365338/4202162b3f1be45ec732fa00352d93a28db03f6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0254338/2" TargetMode="External"/><Relationship Id="rId20" Type="http://schemas.openxmlformats.org/officeDocument/2006/relationships/hyperlink" Target="http://internet.garant.ru/document/redirect/12130951/4700" TargetMode="External"/><Relationship Id="rId29" Type="http://schemas.openxmlformats.org/officeDocument/2006/relationships/hyperlink" Target="http://www.consultant.ru/document/cons_doc_LAW_365338/76123180f1200d66eb1102dd61173d0f8d64d569/" TargetMode="External"/><Relationship Id="rId1" Type="http://schemas.openxmlformats.org/officeDocument/2006/relationships/numbering" Target="numbering.xml"/><Relationship Id="rId6" Type="http://schemas.openxmlformats.org/officeDocument/2006/relationships/hyperlink" Target="http://internet.garant.ru/document/redirect/12180849/2216" TargetMode="External"/><Relationship Id="rId11" Type="http://schemas.openxmlformats.org/officeDocument/2006/relationships/hyperlink" Target="http://internet.garant.ru/document/redirect/12130951/1104" TargetMode="External"/><Relationship Id="rId24" Type="http://schemas.openxmlformats.org/officeDocument/2006/relationships/hyperlink" Target="http://www.consultant.ru/document/cons_doc_LAW_365338/76123180f1200d66eb1102dd61173d0f8d64d569/" TargetMode="External"/><Relationship Id="rId32" Type="http://schemas.openxmlformats.org/officeDocument/2006/relationships/fontTable" Target="fontTable.xml"/><Relationship Id="rId5" Type="http://schemas.openxmlformats.org/officeDocument/2006/relationships/hyperlink" Target="http://internet.garant.ru/document/redirect/12130951/4700" TargetMode="External"/><Relationship Id="rId15" Type="http://schemas.openxmlformats.org/officeDocument/2006/relationships/hyperlink" Target="http://internet.garant.ru/document/redirect/190538/2" TargetMode="External"/><Relationship Id="rId23" Type="http://schemas.openxmlformats.org/officeDocument/2006/relationships/hyperlink" Target="http://www.consultant.ru/document/cons_doc_LAW_365338/76123180f1200d66eb1102dd61173d0f8d64d569/" TargetMode="External"/><Relationship Id="rId28" Type="http://schemas.openxmlformats.org/officeDocument/2006/relationships/hyperlink" Target="http://www.consultant.ru/document/cons_doc_LAW_365338/4202162b3f1be45ec732fa00352d93a28db03f6a/" TargetMode="External"/><Relationship Id="rId10" Type="http://schemas.openxmlformats.org/officeDocument/2006/relationships/hyperlink" Target="http://internet.garant.ru/document/redirect/12130951/5024" TargetMode="External"/><Relationship Id="rId19" Type="http://schemas.openxmlformats.org/officeDocument/2006/relationships/hyperlink" Target="http://internet.garant.ru/document/redirect/12130951/4700" TargetMode="External"/><Relationship Id="rId31" Type="http://schemas.openxmlformats.org/officeDocument/2006/relationships/hyperlink" Target="https://login.consultant.ru/link/?req=doc&amp;base=QUEST&amp;n=207276&amp;dst=1000000001&amp;demo=1" TargetMode="External"/><Relationship Id="rId4" Type="http://schemas.openxmlformats.org/officeDocument/2006/relationships/webSettings" Target="webSettings.xml"/><Relationship Id="rId9" Type="http://schemas.openxmlformats.org/officeDocument/2006/relationships/hyperlink" Target="http://internet.garant.ru/document/redirect/12130951/1202" TargetMode="External"/><Relationship Id="rId14" Type="http://schemas.openxmlformats.org/officeDocument/2006/relationships/hyperlink" Target="http://internet.garant.ru/document/redirect/12130951/4700" TargetMode="External"/><Relationship Id="rId22" Type="http://schemas.openxmlformats.org/officeDocument/2006/relationships/hyperlink" Target="http://www.consultant.ru/document/cons_doc_LAW_365338/4202162b3f1be45ec732fa00352d93a28db03f6a/" TargetMode="External"/><Relationship Id="rId27" Type="http://schemas.openxmlformats.org/officeDocument/2006/relationships/hyperlink" Target="http://www.consultant.ru/document/cons_doc_LAW_365338/4202162b3f1be45ec732fa00352d93a28db03f6a/" TargetMode="External"/><Relationship Id="rId30" Type="http://schemas.openxmlformats.org/officeDocument/2006/relationships/hyperlink" Target="http://www.consultant.ru/document/cons_doc_LAW_152678/cfb2ca39d79414688f68cbf87e498bb39ab3c4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7446</Words>
  <Characters>42445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4</cp:revision>
  <dcterms:created xsi:type="dcterms:W3CDTF">2022-10-30T17:59:00Z</dcterms:created>
  <dcterms:modified xsi:type="dcterms:W3CDTF">2022-10-31T07:00:00Z</dcterms:modified>
</cp:coreProperties>
</file>