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44" w:rsidRPr="00611344" w:rsidRDefault="00611344" w:rsidP="0061134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Вопросы к </w:t>
      </w:r>
      <w:proofErr w:type="spellStart"/>
      <w:r w:rsidRPr="006113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вебинару</w:t>
      </w:r>
      <w:proofErr w:type="spellEnd"/>
      <w:r w:rsidRPr="006113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20 сентября 2022 г. (вторник)</w:t>
      </w:r>
    </w:p>
    <w:p w:rsidR="00611344" w:rsidRPr="00611344" w:rsidRDefault="00611344" w:rsidP="00611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344" w:rsidRPr="00611344" w:rsidRDefault="00611344" w:rsidP="00611344">
      <w:pPr>
        <w:spacing w:before="40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</w:pPr>
      <w:r w:rsidRPr="00611344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>1. Светлана Александровна</w:t>
      </w:r>
    </w:p>
    <w:p w:rsidR="00611344" w:rsidRPr="00611344" w:rsidRDefault="00611344" w:rsidP="00611344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</w:pPr>
      <w:r w:rsidRPr="00611344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shd w:val="clear" w:color="auto" w:fill="FFFFFF"/>
          <w:lang w:eastAsia="ru-RU"/>
        </w:rPr>
        <w:t>НЕВЕРОВ</w:t>
      </w:r>
    </w:p>
    <w:p w:rsidR="00611344" w:rsidRPr="00611344" w:rsidRDefault="00611344" w:rsidP="00611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Автономная некоммерческая организация (АНО) осуществляет деятельность по оказанию социальных услуг с обеспечением проживания людям пожилого возраста и инвалидам. Система налогообложения - УСНО "доходы".</w:t>
      </w:r>
    </w:p>
    <w:p w:rsidR="00611344" w:rsidRPr="00611344" w:rsidRDefault="00611344" w:rsidP="00611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АНО получает за свои услуги денежные средства от постояльцев пансионата для пожилых и инвалидов (часть пенсии) и, как поставщик социальных услуг, не участвующий в выполнении государственного задания (заказа), субсидии из областного бюджета как </w:t>
      </w: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highlight w:val="yellow"/>
          <w:lang w:eastAsia="ru-RU"/>
        </w:rPr>
        <w:t>компенсации за предоставленные социальные услуги</w:t>
      </w: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получателям социальных услуг, предусмотренные индивидуальными программами предоставления социальных услуг.</w:t>
      </w:r>
    </w:p>
    <w:p w:rsidR="00611344" w:rsidRPr="00611344" w:rsidRDefault="00611344" w:rsidP="00611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В части получения денежных средств от постояльцев  </w:t>
      </w:r>
      <w:r w:rsidRPr="0061134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– </w:t>
      </w: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это доходы, которые являются налогооблагаемой базой по УСН.</w:t>
      </w:r>
    </w:p>
    <w:p w:rsidR="00611344" w:rsidRPr="00C2328F" w:rsidRDefault="00611344" w:rsidP="00611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Вопрос. В части субсидий как компенсаций </w:t>
      </w:r>
      <w:r w:rsidRPr="0061134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– </w:t>
      </w: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 является ли эта часть налогооблагаемой базой по УСН? На </w:t>
      </w:r>
      <w:proofErr w:type="gram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основании</w:t>
      </w:r>
      <w:proofErr w:type="gram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каких статей Налогового Кодекса РФ?</w:t>
      </w:r>
    </w:p>
    <w:p w:rsidR="00B00182" w:rsidRDefault="00B00182" w:rsidP="00611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00182" w:rsidRDefault="00B00182" w:rsidP="00611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00182" w:rsidRDefault="00B00182" w:rsidP="00B00182">
      <w:pPr>
        <w:pStyle w:val="1"/>
        <w:shd w:val="clear" w:color="auto" w:fill="FFFFFF"/>
        <w:spacing w:before="0" w:beforeAutospacing="0" w:after="268" w:afterAutospacing="0" w:line="703" w:lineRule="atLeast"/>
        <w:jc w:val="center"/>
        <w:textAlignment w:val="baseline"/>
        <w:rPr>
          <w:rFonts w:ascii="Georgia" w:hAnsi="Georgia"/>
          <w:color w:val="0A0A0A"/>
          <w:sz w:val="54"/>
          <w:szCs w:val="54"/>
        </w:rPr>
      </w:pPr>
      <w:r>
        <w:rPr>
          <w:rFonts w:ascii="Georgia" w:hAnsi="Georgia"/>
          <w:color w:val="0A0A0A"/>
          <w:sz w:val="54"/>
          <w:szCs w:val="54"/>
        </w:rPr>
        <w:t>Министерство финансов Российской Федерации: Письмо № 03-11-06/2/7127 от 11.03.2013</w:t>
      </w:r>
    </w:p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82" w:rsidRPr="00A6595B" w:rsidRDefault="00B00182" w:rsidP="00B001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Вопрос:</w:t>
      </w: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Районный Совет ветеранов просит разъяснить правильность уплаты налога по упрощенной системе налогообложения.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являемся общественной, некоммерческой организацией. Собственных доходов не имеем. Нас финансирует администрация района. Субсидия является целевой и направлена на осуществление деятельности согласно Уставу.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нашей организации являются: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гражданских, социально-экономических, личных прав и свобод лиц старшего поколения;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их материального положения, жилищных условий, медицинского, торгово-бытового обслуживания, лекарственного обеспечения;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Федерального закона РФ "О ветеранах", нормативных актов субъекта РФ о социальной защите, пенсионном обеспечении и льготах, установленных для ветеранов и пенсионеров.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Совет ветеранов находится на упрощенной системе налогообложения на 15% ставки "Доходы - расходы". Считаем, что декларация за 2012 год должна быть нулевой, минимальный налог в размере 1% не начисляется.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346.15 Налогового кодекса при определении налогообложения не учитываются доходы, указанные в ст. 251 Налогового кодекса (целевое финансирование).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дать ответ в более короткие сроки, так как подходит срок сдачи декларации.</w:t>
      </w:r>
    </w:p>
    <w:p w:rsidR="00B00182" w:rsidRPr="00A6595B" w:rsidRDefault="00B00182" w:rsidP="00B001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5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Департамент налоговой и </w:t>
      </w:r>
      <w:proofErr w:type="spellStart"/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таможенно-тарифной</w:t>
      </w:r>
      <w:proofErr w:type="spellEnd"/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рассмотрел письмо по вопросу учета некоммерческой организацией, применяющей упрощенную систему налогообложения с объектом налогообложения в виде доходов, уменьшенных на величину расходов, доходов в виде субсидий, выделяемых из бюджета на осуществление ее деятельности, и сообщает следующее.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статьи 346.15 Налогового кодекса РФ (далее - Кодекс) налогоплательщики при применении упрощенной системы налогообложения должны включать в состав доходов, учитываемых при определении объекта налогообложения по налогу, доходы от реализации и </w:t>
      </w:r>
      <w:proofErr w:type="spellStart"/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внереализационные</w:t>
      </w:r>
      <w:proofErr w:type="spellEnd"/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доходы. Указанные доходы определяются соответственно исходя из положений статей 249 и 250 Кодекса. Доходы, предусмотренные статьей 251 Кодекса, в составе доходов не учитываются (пункт 1.1 статьи 346.15 Кодекса).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2 статьи 251 Кодекса при определении налоговой базы не учитываются целевые поступления (за исключением целевых поступлений в виде подакцизных товаров). </w:t>
      </w:r>
      <w:proofErr w:type="gramStart"/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 целевые поступления на содержание некоммерческих организаций и ведение ими уставной деятельности,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фондов, а также целевые поступления от других организаций и (или) физических лиц и использованные указанными получателями по назначению.</w:t>
      </w:r>
      <w:proofErr w:type="gramEnd"/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налогоплательщики - получатели указанных целевых поступлений обязаны вести раздельный учет доходов (расходов), полученных (понесенных) в рамках целевых поступлений.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частности, </w:t>
      </w:r>
      <w:r w:rsidRPr="002878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 целевым поступлениям согласно подпункту 3 пункта 2 статьи 251 Кодекса относятся средства, предоставленные из федерального бюджета, бюджетов субъектов Российской Федерации, местных бюджетов, бюджетов государственных внебюджетных фондов, на </w:t>
      </w:r>
      <w:r w:rsidRPr="002878F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осуществление уставной деятельности некоммерческих организаций</w:t>
      </w:r>
      <w:r w:rsidRPr="002878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proofErr w:type="gramEnd"/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C2328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поскольку субсидии предоставлены некоммерческой организации </w:t>
      </w:r>
      <w:r w:rsidRPr="00C2328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безвозмездно на осуществление уставной деятельности</w:t>
      </w:r>
      <w:r w:rsidRPr="00C2328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при ведении раздельного учета указанные средства не учитываются при определении налоговой базы по налогу, уплачиваемому в связи с применением упрощенной системы налогообложения.</w:t>
      </w:r>
      <w:proofErr w:type="gramEnd"/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уплаты минимального налога сообщаем, что в соответствии с пунктом 6 статьи 346.18 Кодекса налогоплательщики, которые применяют в качестве объекта налогообложения доходы, уменьшенные на величину расходов, уплачивают минимальный налог.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минимального налога исчисляется за налоговый период в размере 1 процента налоговой базы, которой являются доходы, определяемые в соответствии со статьей 346.15 Кодекса.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суммы в виде субсидии, предоставленные некоммерческой организации безвозмездно на осуществление уставной деятельности, являются единственным источником ее дохода и не подпадают под налогообложение при применении упрощенной системы налогообложения, минимальный налог не исчисляется.</w:t>
      </w:r>
    </w:p>
    <w:p w:rsidR="00B00182" w:rsidRPr="00A6595B" w:rsidRDefault="00B00182" w:rsidP="00B00182">
      <w:pPr>
        <w:spacing w:before="268" w:after="2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346.23 Кодекса налоговая декларация по итогам налогового периода представляется налогоплательщиками-организациями не позднее 31 марта года, следующего за истекшим налоговым периодом. </w:t>
      </w:r>
    </w:p>
    <w:tbl>
      <w:tblPr>
        <w:tblW w:w="10917" w:type="dxa"/>
        <w:tblCellMar>
          <w:left w:w="0" w:type="dxa"/>
          <w:right w:w="0" w:type="dxa"/>
        </w:tblCellMar>
        <w:tblLook w:val="04A0"/>
      </w:tblPr>
      <w:tblGrid>
        <w:gridCol w:w="7263"/>
        <w:gridCol w:w="3654"/>
      </w:tblGrid>
      <w:tr w:rsidR="00B00182" w:rsidRPr="00A6595B" w:rsidTr="00C41939">
        <w:tc>
          <w:tcPr>
            <w:tcW w:w="7434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0182" w:rsidRPr="00A6595B" w:rsidRDefault="00B00182" w:rsidP="00C41939">
            <w:pPr>
              <w:spacing w:after="0" w:line="2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Департамента</w:t>
            </w:r>
          </w:p>
        </w:tc>
        <w:tc>
          <w:tcPr>
            <w:tcW w:w="3717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0182" w:rsidRPr="00A6595B" w:rsidRDefault="00B00182" w:rsidP="00C41939">
            <w:pPr>
              <w:shd w:val="clear" w:color="auto" w:fill="FFFFFF"/>
              <w:spacing w:after="0" w:line="241" w:lineRule="atLeast"/>
              <w:textAlignment w:val="baseline"/>
              <w:rPr>
                <w:rFonts w:ascii="Arial" w:eastAsia="Times New Roman" w:hAnsi="Arial" w:cs="Arial"/>
                <w:color w:val="0A0A0A"/>
                <w:sz w:val="20"/>
                <w:szCs w:val="20"/>
                <w:lang w:eastAsia="ru-RU"/>
              </w:rPr>
            </w:pPr>
            <w:r w:rsidRPr="00A6595B">
              <w:rPr>
                <w:rFonts w:ascii="Arial" w:eastAsia="Times New Roman" w:hAnsi="Arial" w:cs="Arial"/>
                <w:color w:val="0A0A0A"/>
                <w:sz w:val="20"/>
                <w:szCs w:val="20"/>
                <w:lang w:eastAsia="ru-RU"/>
              </w:rPr>
              <w:t>С.В. </w:t>
            </w:r>
            <w:proofErr w:type="spellStart"/>
            <w:r w:rsidRPr="00A6595B">
              <w:rPr>
                <w:rFonts w:ascii="Arial" w:eastAsia="Times New Roman" w:hAnsi="Arial" w:cs="Arial"/>
                <w:color w:val="0A0A0A"/>
                <w:sz w:val="20"/>
                <w:szCs w:val="20"/>
                <w:lang w:eastAsia="ru-RU"/>
              </w:rPr>
              <w:t>Разгулин</w:t>
            </w:r>
            <w:proofErr w:type="spellEnd"/>
          </w:p>
          <w:p w:rsidR="00B00182" w:rsidRPr="00A6595B" w:rsidRDefault="00B00182" w:rsidP="00C4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Письмо Минфина России от 07.04.2014 N 03-11-06/2/15457.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В соответствии со ст. 346.15 Налогового кодекса Российской Федерации (далее - Кодекс) при применении организацией упрощенной системы налогообложения в составе доходов учитываются доходы от реализации товаров (работ, услуг), имущественных прав и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внереализационные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доходы, определяемые в соответствии со ст. ст. 249 и 250 гл. 25 ''Налог на прибыль организаций'' Кодекса. Доходы, предусмотренные ст. 251 Кодекса, в составе доходов не учитываются.</w:t>
      </w:r>
    </w:p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В соответствии с п. 2 ст. 251 Кодекса при определении налоговой базы не учитываются целевые поступления (за исключением целевых поступлений в виде подакцизных товаров). 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К ним относятся целевые поступления на содержание некоммерческих организаций и ведение ими уставной деятельности,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фондов, а также целевые поступления от других организаций и (или) физических лиц и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использованные указанными получателями по назначению.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При этом налогоплательщики - получатели указанных целевых поступлений обязаны вести раздельный учет доходов (расходов), полученных (понесенных) в рамках целевых поступлений.</w:t>
      </w:r>
    </w:p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</w:rPr>
        <w:br/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К целевым поступлениям на содержание некоммерческих организаций и ведение ими уставной деятельности, в частности, относятся осуществленные в соответствии с законодательством Российской Федерации о некоммерческих организациях взносы учредителей (участников, членов), пожертвования, признаваемые таковыми в соответствии с гражданским законодательством Российской Федерации, доходы в виде безвозмездно полученных некоммерческими организациями работ (услуг), выполненных (оказанных) на основании соответствующих договоров.</w:t>
      </w:r>
      <w:proofErr w:type="gramEnd"/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Таким образом, некоммерческой организацией, применяющей упрощенную систему налогообложения, при определении налоговой базы не учитываются вступительные взносы, членские взносы, паевые взносы, пожертвования.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proofErr w:type="gramStart"/>
      <w:r w:rsidRPr="002878F5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регламентировано ст. 78 Бюджетного кодекса Российской Федерации (далее - БК РФ), в соответствии с которой субсидии указанным лицам предоставляются на безвозмездной и безвозвратной основе в целях </w:t>
      </w:r>
      <w:r w:rsidRPr="00C2328F">
        <w:rPr>
          <w:rFonts w:ascii="Verdana" w:hAnsi="Verdana"/>
          <w:b/>
          <w:color w:val="FF0000"/>
          <w:sz w:val="23"/>
          <w:szCs w:val="23"/>
          <w:highlight w:val="yellow"/>
          <w:u w:val="single"/>
          <w:shd w:val="clear" w:color="auto" w:fill="FFFFFF"/>
        </w:rPr>
        <w:t>возмещения затрат или недополученных доходов</w:t>
      </w:r>
      <w:r w:rsidRPr="002878F5">
        <w:rPr>
          <w:rFonts w:ascii="Verdana" w:hAnsi="Verdana"/>
          <w:b/>
          <w:color w:val="000000"/>
          <w:sz w:val="23"/>
          <w:szCs w:val="23"/>
          <w:highlight w:val="yellow"/>
          <w:shd w:val="clear" w:color="auto" w:fill="FFFFFF"/>
        </w:rPr>
        <w:t xml:space="preserve"> </w:t>
      </w:r>
      <w:r w:rsidRPr="002878F5">
        <w:rPr>
          <w:rFonts w:ascii="Verdana" w:hAnsi="Verdana"/>
          <w:b/>
          <w:color w:val="FF0000"/>
          <w:sz w:val="23"/>
          <w:szCs w:val="23"/>
          <w:highlight w:val="yellow"/>
          <w:shd w:val="clear" w:color="auto" w:fill="FFFFFF"/>
        </w:rPr>
        <w:t>в связи с производством (реализацией) товаров, выполнением работ, оказанием услуг</w:t>
      </w:r>
      <w:r w:rsidRPr="002878F5">
        <w:rPr>
          <w:rFonts w:ascii="Verdana" w:hAnsi="Verdana"/>
          <w:color w:val="FF0000"/>
          <w:sz w:val="23"/>
          <w:szCs w:val="23"/>
          <w:highlight w:val="yellow"/>
          <w:shd w:val="clear" w:color="auto" w:fill="FFFFFF"/>
        </w:rPr>
        <w:t>.</w:t>
      </w:r>
      <w:proofErr w:type="gramEnd"/>
      <w:r w:rsidRPr="002878F5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 xml:space="preserve"> Кроме того, в соответствии со ст. 78.1 БК РФ некоммерческие организации также могут быть получателями субсидий из бюджета, в случае если это предусмотрено нормативн</w:t>
      </w:r>
      <w:proofErr w:type="gramStart"/>
      <w:r w:rsidRPr="002878F5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>о-</w:t>
      </w:r>
      <w:proofErr w:type="gramEnd"/>
      <w:r w:rsidRPr="002878F5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 xml:space="preserve"> правовыми актами Правительства Российской Федерацией, высшего исполнительного органа власти субъекта Российской Федерации, местной администрации.</w:t>
      </w:r>
    </w:p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Как следует из письма, субсидии некоммерческой организации из областного бюджета выделяются </w:t>
      </w:r>
      <w:r w:rsidRPr="00C2328F">
        <w:rPr>
          <w:rFonts w:ascii="Verdana" w:hAnsi="Verdana"/>
          <w:color w:val="FF0000"/>
          <w:sz w:val="23"/>
          <w:szCs w:val="23"/>
          <w:shd w:val="clear" w:color="auto" w:fill="FFFFFF"/>
        </w:rPr>
        <w:t>в целях возмещения затрат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, связанных с оказанием услуг в сфере государственной молодежной политики. В соответствии с уставом предметом деятельности некоммерческой организации является создание условий и организация временной занятости обучающихся в образовательных учреждениях, а также информационная поддержка молодежи.</w:t>
      </w:r>
    </w:p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</w:rPr>
        <w:br/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К таким целевым поступлениям некоммерческой организации согласно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пп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 3 п. 2 ст. 251 Кодекса также относятся средства, предоставленные из федерального бюджета, бюджетов субъектов Российской Федерации, местных бюджетов, бюджетов государственных внебюджетных фондов, на осуществление уставной деятельности некоммерческих организаций.</w:t>
      </w:r>
      <w:proofErr w:type="gramEnd"/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 w:rsidRPr="002878F5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 xml:space="preserve">Учитывая, что </w:t>
      </w:r>
      <w:r w:rsidRPr="002878F5">
        <w:rPr>
          <w:rFonts w:ascii="Verdana" w:hAnsi="Verdana"/>
          <w:b/>
          <w:color w:val="000000"/>
          <w:sz w:val="23"/>
          <w:szCs w:val="23"/>
          <w:highlight w:val="yellow"/>
          <w:shd w:val="clear" w:color="auto" w:fill="FFFFFF"/>
        </w:rPr>
        <w:t xml:space="preserve">денежные средства в виде субсидий, получаемые некоммерческой организацией из бюджета на возмещение затрат, </w:t>
      </w:r>
      <w:r w:rsidRPr="00C2328F">
        <w:rPr>
          <w:rFonts w:ascii="Verdana" w:hAnsi="Verdana"/>
          <w:b/>
          <w:color w:val="FF0000"/>
          <w:sz w:val="23"/>
          <w:szCs w:val="23"/>
          <w:highlight w:val="yellow"/>
          <w:u w:val="single"/>
          <w:shd w:val="clear" w:color="auto" w:fill="FFFFFF"/>
        </w:rPr>
        <w:t>не связаны с оплатой</w:t>
      </w:r>
      <w:r w:rsidRPr="002878F5">
        <w:rPr>
          <w:rFonts w:ascii="Verdana" w:hAnsi="Verdana"/>
          <w:b/>
          <w:color w:val="FF0000"/>
          <w:sz w:val="23"/>
          <w:szCs w:val="23"/>
          <w:highlight w:val="yellow"/>
          <w:shd w:val="clear" w:color="auto" w:fill="FFFFFF"/>
        </w:rPr>
        <w:t xml:space="preserve"> реализуемых этим налогоплательщиком товаров (работ, услуг),</w:t>
      </w:r>
      <w:r w:rsidRPr="002878F5">
        <w:rPr>
          <w:rFonts w:ascii="Verdana" w:hAnsi="Verdana"/>
          <w:b/>
          <w:color w:val="000000"/>
          <w:sz w:val="23"/>
          <w:szCs w:val="23"/>
          <w:highlight w:val="yellow"/>
          <w:shd w:val="clear" w:color="auto" w:fill="FFFFFF"/>
        </w:rPr>
        <w:t xml:space="preserve"> они не учитываются при определении </w:t>
      </w:r>
      <w:r w:rsidRPr="002878F5">
        <w:rPr>
          <w:rFonts w:ascii="Verdana" w:hAnsi="Verdana"/>
          <w:b/>
          <w:color w:val="000000"/>
          <w:sz w:val="23"/>
          <w:szCs w:val="23"/>
          <w:highlight w:val="yellow"/>
          <w:shd w:val="clear" w:color="auto" w:fill="FFFFFF"/>
        </w:rPr>
        <w:lastRenderedPageBreak/>
        <w:t>налоговой базы по налогу на прибыль</w:t>
      </w:r>
      <w:r w:rsidRPr="002878F5">
        <w:rPr>
          <w:rFonts w:ascii="Verdana" w:hAnsi="Verdana"/>
          <w:color w:val="000000"/>
          <w:sz w:val="23"/>
          <w:szCs w:val="23"/>
          <w:highlight w:val="yellow"/>
          <w:shd w:val="clear" w:color="auto" w:fill="FFFFFF"/>
        </w:rPr>
        <w:t xml:space="preserve"> организаций на основании п. 3 п. 2 ст. 251 Кодекса.</w:t>
      </w:r>
    </w:p>
    <w:p w:rsidR="00B00182" w:rsidRDefault="00B00182" w:rsidP="00B001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К средствам целевого финансирования относится имущество, полученное налогоплательщиком и использованное им по назначению, определенному организацией (физическим лицом) - источником целевого финансирования или федеральными законами, в том числе в виде полученных грантов.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В целях гл. 25 Кодекса грантами признаются денежные средства или иное имущество, предоставляемое на безвозмездной и безвозвратной основах российскими физическими лицами, некоммерческими организациями, а также иностранными и международными организациями и объединениями по Перечню таких организаций, утверждаемому Правительством Российской Федерации, на осуществление конкретных программ в области образования, искусства, культуры, охраны здоровья населения (направления - СПИД, наркомания, детская онкология, включая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онкогематологию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, детская эндокринология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, гепатит и туберкулез), охраны окружающей среды, защиты прав и свобод человека и гражданина, предусмотренных законодательством Российской Федерации, социального обслуживания малоимущих и социально незащищенных категорий граждан, а также на проведение конкретных научных исследований.</w:t>
      </w:r>
    </w:p>
    <w:p w:rsidR="00B00182" w:rsidRPr="005A4A91" w:rsidRDefault="00B00182" w:rsidP="00B00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82" w:rsidRPr="005A4A91" w:rsidRDefault="00B00182" w:rsidP="00B0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82" w:rsidRDefault="00B00182" w:rsidP="00611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00182" w:rsidRDefault="00B00182" w:rsidP="00611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00182" w:rsidRPr="00611344" w:rsidRDefault="00B00182" w:rsidP="00611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344" w:rsidRPr="00611344" w:rsidRDefault="00611344" w:rsidP="00611344">
      <w:pPr>
        <w:spacing w:before="40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134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5. Елена Николаевна Ж.</w:t>
      </w:r>
    </w:p>
    <w:p w:rsidR="00611344" w:rsidRPr="00611344" w:rsidRDefault="00611344" w:rsidP="00611344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134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shd w:val="clear" w:color="auto" w:fill="FFFFFF"/>
          <w:lang w:eastAsia="ru-RU"/>
        </w:rPr>
        <w:t>НЕВЕРОВ</w:t>
      </w: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1. В </w:t>
      </w: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highlight w:val="yellow"/>
          <w:lang w:eastAsia="ru-RU"/>
        </w:rPr>
        <w:t>сентябре 2021</w:t>
      </w: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НКО приобрела прослеживаемый товар – Монитор. Отчет по операциям с прослеживаемыми товарами НКО не предоставила. НКО применяет УСН. За 3 квартал 2021 НКО предоставила налоговую декларацию по НДС в качестве налогового агента. Был заключён договор с иностранной организацией, не состоящей на учете в ИФНС.</w:t>
      </w:r>
    </w:p>
    <w:p w:rsidR="00611344" w:rsidRPr="00C2328F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Вопрос: Какую отчетность в настоящий момент предоставить по приобретённому прослеживаемому товару? Какие штрафные санкции возникнут за несвоевременное предоставление?</w:t>
      </w:r>
    </w:p>
    <w:p w:rsidR="006713BB" w:rsidRDefault="006713BB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713BB" w:rsidRDefault="006713BB" w:rsidP="006713BB">
      <w:pPr>
        <w:shd w:val="clear" w:color="auto" w:fill="FFFFFF"/>
        <w:rPr>
          <w:rStyle w:val="a4"/>
          <w:rFonts w:ascii="Arial" w:hAnsi="Arial" w:cs="Arial"/>
          <w:color w:val="2F9BE9"/>
          <w:sz w:val="11"/>
          <w:szCs w:val="11"/>
          <w:u w:val="none"/>
        </w:rPr>
      </w:pPr>
      <w:r>
        <w:rPr>
          <w:rFonts w:ascii="Arial" w:hAnsi="Arial" w:cs="Arial"/>
          <w:color w:val="444444"/>
          <w:sz w:val="11"/>
          <w:szCs w:val="11"/>
        </w:rPr>
        <w:fldChar w:fldCharType="begin"/>
      </w:r>
      <w:r>
        <w:rPr>
          <w:rFonts w:ascii="Arial" w:hAnsi="Arial" w:cs="Arial"/>
          <w:color w:val="444444"/>
          <w:sz w:val="11"/>
          <w:szCs w:val="11"/>
        </w:rPr>
        <w:instrText xml:space="preserve"> HYPERLINK "https://astral.ru/info/elektronnaya-otchetnost/obshchie-voprosy-otchetnost/otchyet-o-proslezhivaemykh-tovarakh-/" \l "vquncuyw4ohirw0fadl" </w:instrText>
      </w:r>
      <w:r>
        <w:rPr>
          <w:rFonts w:ascii="Arial" w:hAnsi="Arial" w:cs="Arial"/>
          <w:color w:val="444444"/>
          <w:sz w:val="11"/>
          <w:szCs w:val="11"/>
        </w:rPr>
        <w:fldChar w:fldCharType="separate"/>
      </w:r>
    </w:p>
    <w:p w:rsidR="006713BB" w:rsidRDefault="006713BB" w:rsidP="006713BB">
      <w:pPr>
        <w:pStyle w:val="mb-0"/>
        <w:shd w:val="clear" w:color="auto" w:fill="FFFFFF"/>
        <w:spacing w:before="0" w:beforeAutospacing="0" w:line="181" w:lineRule="atLeast"/>
      </w:pPr>
      <w:r>
        <w:rPr>
          <w:rFonts w:ascii="Arial" w:hAnsi="Arial" w:cs="Arial"/>
          <w:color w:val="2F9BE9"/>
          <w:sz w:val="11"/>
          <w:szCs w:val="11"/>
        </w:rPr>
        <w:lastRenderedPageBreak/>
        <w:t>раций</w:t>
      </w:r>
    </w:p>
    <w:p w:rsidR="006713BB" w:rsidRPr="006713BB" w:rsidRDefault="006713BB" w:rsidP="006713BB">
      <w:pPr>
        <w:shd w:val="clear" w:color="auto" w:fill="FFFFFF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11"/>
          <w:szCs w:val="11"/>
        </w:rPr>
        <w:fldChar w:fldCharType="end"/>
      </w:r>
    </w:p>
    <w:p w:rsidR="006713BB" w:rsidRPr="006713BB" w:rsidRDefault="006713BB" w:rsidP="006713BB">
      <w:pPr>
        <w:pStyle w:val="mb-32"/>
        <w:shd w:val="clear" w:color="auto" w:fill="FFFFFF"/>
        <w:spacing w:before="0" w:beforeAutospacing="0"/>
        <w:rPr>
          <w:rFonts w:ascii="Arial" w:hAnsi="Arial" w:cs="Arial"/>
          <w:color w:val="444444"/>
        </w:rPr>
      </w:pPr>
      <w:r w:rsidRPr="006713BB">
        <w:rPr>
          <w:rFonts w:ascii="Arial" w:hAnsi="Arial" w:cs="Arial"/>
          <w:color w:val="444444"/>
        </w:rPr>
        <w:t xml:space="preserve">С 8 июля 2021 года в России работает система </w:t>
      </w:r>
      <w:proofErr w:type="spellStart"/>
      <w:r w:rsidRPr="006713BB">
        <w:rPr>
          <w:rFonts w:ascii="Arial" w:hAnsi="Arial" w:cs="Arial"/>
          <w:color w:val="444444"/>
        </w:rPr>
        <w:t>прослеживаемости</w:t>
      </w:r>
      <w:proofErr w:type="spellEnd"/>
      <w:r w:rsidRPr="006713BB">
        <w:rPr>
          <w:rFonts w:ascii="Arial" w:hAnsi="Arial" w:cs="Arial"/>
          <w:color w:val="444444"/>
        </w:rPr>
        <w:t xml:space="preserve"> товаров. В перечень товаров, подлежащих </w:t>
      </w:r>
      <w:proofErr w:type="spellStart"/>
      <w:r w:rsidRPr="006713BB">
        <w:rPr>
          <w:rFonts w:ascii="Arial" w:hAnsi="Arial" w:cs="Arial"/>
          <w:color w:val="444444"/>
        </w:rPr>
        <w:t>прослеживаемости</w:t>
      </w:r>
      <w:proofErr w:type="spellEnd"/>
      <w:r w:rsidRPr="006713BB">
        <w:rPr>
          <w:rFonts w:ascii="Arial" w:hAnsi="Arial" w:cs="Arial"/>
          <w:color w:val="444444"/>
        </w:rPr>
        <w:t xml:space="preserve">, входят импортные холодильники, морозильники, стиральные машины, автопогрузчики, компьютерные мониторы, детские коляски и </w:t>
      </w:r>
      <w:proofErr w:type="spellStart"/>
      <w:r w:rsidRPr="006713BB">
        <w:rPr>
          <w:rFonts w:ascii="Arial" w:hAnsi="Arial" w:cs="Arial"/>
          <w:color w:val="444444"/>
        </w:rPr>
        <w:t>автокресла</w:t>
      </w:r>
      <w:proofErr w:type="spellEnd"/>
      <w:r w:rsidRPr="006713BB">
        <w:rPr>
          <w:rFonts w:ascii="Arial" w:hAnsi="Arial" w:cs="Arial"/>
          <w:color w:val="444444"/>
        </w:rPr>
        <w:t>. В связи с этим у тех компаний и ИП, которые работают с прослеживаемыми товарами, возникла обязанность сдавать новый отчёт. Расскажем о том, кто, когда и как должен сдавать отчёт об операциях с прослеживаемыми товарами.</w:t>
      </w:r>
    </w:p>
    <w:p w:rsidR="006713BB" w:rsidRPr="006713BB" w:rsidRDefault="006713BB" w:rsidP="006713BB">
      <w:pPr>
        <w:pStyle w:val="2"/>
        <w:shd w:val="clear" w:color="auto" w:fill="FFFFFF"/>
        <w:spacing w:before="0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Кто сдаёт отчёт по прослеживаемым товарам</w:t>
      </w:r>
    </w:p>
    <w:p w:rsidR="006713BB" w:rsidRPr="006713BB" w:rsidRDefault="006713BB" w:rsidP="006713BB">
      <w:pPr>
        <w:pStyle w:val="mb-3"/>
        <w:shd w:val="clear" w:color="auto" w:fill="FFFFFF"/>
        <w:spacing w:before="0" w:beforeAutospacing="0"/>
        <w:rPr>
          <w:rFonts w:ascii="Arial" w:hAnsi="Arial" w:cs="Arial"/>
          <w:color w:val="444444"/>
        </w:rPr>
      </w:pPr>
      <w:r w:rsidRPr="006713BB">
        <w:rPr>
          <w:rFonts w:ascii="Arial" w:hAnsi="Arial" w:cs="Arial"/>
          <w:color w:val="444444"/>
        </w:rPr>
        <w:t>По общему правилу отчёт о прослеживаемых товарах сдают предприниматели, которые работают с этими товарами: самостоятельно импортируют или просто покупают, продают, и даже дарят или передают в производство импортные товары из перечня в Постановлении Правительства </w:t>
      </w:r>
      <w:hyperlink r:id="rId5" w:tgtFrame="_blank" w:history="1">
        <w:r w:rsidRPr="006713BB">
          <w:rPr>
            <w:rStyle w:val="a4"/>
            <w:rFonts w:ascii="Arial" w:hAnsi="Arial" w:cs="Arial"/>
            <w:color w:val="2F9BE9"/>
          </w:rPr>
          <w:t>№ 1110</w:t>
        </w:r>
      </w:hyperlink>
      <w:r w:rsidRPr="006713BB">
        <w:rPr>
          <w:rFonts w:ascii="Arial" w:hAnsi="Arial" w:cs="Arial"/>
          <w:color w:val="444444"/>
        </w:rPr>
        <w:t>.</w:t>
      </w:r>
    </w:p>
    <w:p w:rsidR="006713BB" w:rsidRPr="006713BB" w:rsidRDefault="006713BB" w:rsidP="006713BB">
      <w:pPr>
        <w:pStyle w:val="mb-3"/>
        <w:shd w:val="clear" w:color="auto" w:fill="FFFFFF"/>
        <w:spacing w:before="0" w:beforeAutospacing="0"/>
        <w:rPr>
          <w:rFonts w:ascii="Arial" w:hAnsi="Arial" w:cs="Arial"/>
          <w:color w:val="444444"/>
        </w:rPr>
      </w:pPr>
      <w:r w:rsidRPr="006713BB">
        <w:rPr>
          <w:rFonts w:ascii="Arial" w:hAnsi="Arial" w:cs="Arial"/>
          <w:color w:val="444444"/>
        </w:rPr>
        <w:t>Но есть нюансы. Отчитываться должны:</w:t>
      </w:r>
    </w:p>
    <w:p w:rsidR="006713BB" w:rsidRPr="006713BB" w:rsidRDefault="006713BB" w:rsidP="006713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  <w:highlight w:val="yellow"/>
        </w:rPr>
      </w:pPr>
      <w:r w:rsidRPr="006713BB">
        <w:rPr>
          <w:rFonts w:ascii="Arial" w:hAnsi="Arial" w:cs="Arial"/>
          <w:color w:val="444444"/>
          <w:sz w:val="24"/>
          <w:szCs w:val="24"/>
          <w:highlight w:val="yellow"/>
        </w:rPr>
        <w:t>неплательщики НДС: те, кто применяет УСН, работает на патенте или освобождён от обязанностей плательщика НДС по ст. 145 НК. Они указывают в отчёте все операции с прослеживаемыми товарами;</w:t>
      </w:r>
    </w:p>
    <w:p w:rsidR="006713BB" w:rsidRPr="006713BB" w:rsidRDefault="006713BB" w:rsidP="006713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плательщики НДС. Но они заполняют отчёт, только если операции с прослеживаемыми товарами не отражаются в НДС-декларации. К примеру, если товар передан в производство или на переработку.</w:t>
      </w:r>
    </w:p>
    <w:p w:rsidR="006713BB" w:rsidRPr="006713BB" w:rsidRDefault="006713BB" w:rsidP="006713BB">
      <w:pPr>
        <w:pStyle w:val="mb-3"/>
        <w:shd w:val="clear" w:color="auto" w:fill="FFFFFF"/>
        <w:spacing w:before="0" w:beforeAutospacing="0"/>
        <w:rPr>
          <w:rFonts w:ascii="Arial" w:hAnsi="Arial" w:cs="Arial"/>
          <w:color w:val="444444"/>
        </w:rPr>
      </w:pPr>
      <w:r w:rsidRPr="006713BB">
        <w:rPr>
          <w:rFonts w:ascii="Arial" w:hAnsi="Arial" w:cs="Arial"/>
          <w:color w:val="444444"/>
        </w:rPr>
        <w:t>В отчёт не включаются операции при импорте прослеживаемых товаров из стран ЕАЭС или при экспорте в эти страны. Такие операции отражаются в уведомлениях о ввозе или перемещении.</w:t>
      </w:r>
    </w:p>
    <w:p w:rsidR="006713BB" w:rsidRPr="006713BB" w:rsidRDefault="006713BB" w:rsidP="006713BB">
      <w:pPr>
        <w:shd w:val="clear" w:color="auto" w:fill="FCF2F2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Если за квартал не было никаких операций с прослеживаемыми товарами, нулевой отчёт сдавать не надо.</w:t>
      </w:r>
    </w:p>
    <w:p w:rsidR="006713BB" w:rsidRPr="006713BB" w:rsidRDefault="006713BB" w:rsidP="006713BB">
      <w:pPr>
        <w:pStyle w:val="2"/>
        <w:shd w:val="clear" w:color="auto" w:fill="FFFFFF"/>
        <w:spacing w:before="0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 xml:space="preserve">Когда сдают отчёт по </w:t>
      </w:r>
      <w:proofErr w:type="spellStart"/>
      <w:r w:rsidRPr="006713BB">
        <w:rPr>
          <w:rFonts w:ascii="Arial" w:hAnsi="Arial" w:cs="Arial"/>
          <w:color w:val="444444"/>
          <w:sz w:val="24"/>
          <w:szCs w:val="24"/>
        </w:rPr>
        <w:t>прослеживаемости</w:t>
      </w:r>
      <w:proofErr w:type="spellEnd"/>
    </w:p>
    <w:p w:rsidR="006713BB" w:rsidRPr="006713BB" w:rsidRDefault="006713BB" w:rsidP="006713BB">
      <w:pPr>
        <w:pStyle w:val="mb-3"/>
        <w:shd w:val="clear" w:color="auto" w:fill="FFFFFF"/>
        <w:spacing w:before="0" w:beforeAutospacing="0"/>
        <w:rPr>
          <w:rFonts w:ascii="Arial" w:hAnsi="Arial" w:cs="Arial"/>
          <w:color w:val="444444"/>
        </w:rPr>
      </w:pPr>
      <w:r w:rsidRPr="006713BB">
        <w:rPr>
          <w:rFonts w:ascii="Arial" w:hAnsi="Arial" w:cs="Arial"/>
          <w:color w:val="444444"/>
        </w:rPr>
        <w:t>Отчётность сдают ежеквартально, крайний срок сдачи совпадает с декларацией по НДС:</w:t>
      </w:r>
    </w:p>
    <w:p w:rsidR="006713BB" w:rsidRPr="006713BB" w:rsidRDefault="006713BB" w:rsidP="00671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25 апреля</w:t>
      </w:r>
    </w:p>
    <w:p w:rsidR="006713BB" w:rsidRPr="006713BB" w:rsidRDefault="006713BB" w:rsidP="00671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25 июля</w:t>
      </w:r>
    </w:p>
    <w:p w:rsidR="006713BB" w:rsidRPr="006713BB" w:rsidRDefault="006713BB" w:rsidP="00671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25 октября</w:t>
      </w:r>
    </w:p>
    <w:p w:rsidR="006713BB" w:rsidRPr="006713BB" w:rsidRDefault="006713BB" w:rsidP="00671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25 января</w:t>
      </w:r>
    </w:p>
    <w:p w:rsidR="006713BB" w:rsidRPr="006713BB" w:rsidRDefault="006713BB" w:rsidP="006713BB">
      <w:pPr>
        <w:pStyle w:val="mb-3"/>
        <w:shd w:val="clear" w:color="auto" w:fill="FFFFFF"/>
        <w:spacing w:before="0" w:beforeAutospacing="0"/>
        <w:rPr>
          <w:rFonts w:ascii="Arial" w:hAnsi="Arial" w:cs="Arial"/>
          <w:color w:val="444444"/>
        </w:rPr>
      </w:pPr>
      <w:r w:rsidRPr="006713BB">
        <w:rPr>
          <w:rFonts w:ascii="Arial" w:hAnsi="Arial" w:cs="Arial"/>
          <w:color w:val="444444"/>
        </w:rPr>
        <w:t>Если 25 число — выходной или праздник, то крайняя дата переносится на следующий рабочий день.</w:t>
      </w:r>
    </w:p>
    <w:p w:rsidR="006713BB" w:rsidRPr="006713BB" w:rsidRDefault="006713BB" w:rsidP="006713BB">
      <w:pPr>
        <w:shd w:val="clear" w:color="auto" w:fill="FCF2F2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Отчёт о прослеживаемых товарах сдают только в электронном виде через оператора ЭДО, подписав усиленной квалифицированной электронной подписью.</w:t>
      </w:r>
    </w:p>
    <w:p w:rsidR="006713BB" w:rsidRPr="006713BB" w:rsidRDefault="006713BB" w:rsidP="006713BB">
      <w:pPr>
        <w:pStyle w:val="2"/>
        <w:shd w:val="clear" w:color="auto" w:fill="FFFFFF"/>
        <w:spacing w:before="0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Что будет, если не сдать отчёт</w:t>
      </w:r>
    </w:p>
    <w:p w:rsidR="006713BB" w:rsidRPr="006713BB" w:rsidRDefault="006713BB" w:rsidP="006713BB">
      <w:pPr>
        <w:pStyle w:val="mb-3"/>
        <w:shd w:val="clear" w:color="auto" w:fill="FFFFFF"/>
        <w:spacing w:before="0" w:beforeAutospacing="0"/>
        <w:rPr>
          <w:rFonts w:ascii="Arial" w:hAnsi="Arial" w:cs="Arial"/>
          <w:color w:val="444444"/>
        </w:rPr>
      </w:pPr>
      <w:r w:rsidRPr="006713BB">
        <w:rPr>
          <w:rFonts w:ascii="Arial" w:hAnsi="Arial" w:cs="Arial"/>
          <w:color w:val="444444"/>
          <w:highlight w:val="yellow"/>
        </w:rPr>
        <w:t xml:space="preserve">Штрафы за </w:t>
      </w:r>
      <w:proofErr w:type="spellStart"/>
      <w:r w:rsidRPr="006713BB">
        <w:rPr>
          <w:rFonts w:ascii="Arial" w:hAnsi="Arial" w:cs="Arial"/>
          <w:color w:val="444444"/>
          <w:highlight w:val="yellow"/>
        </w:rPr>
        <w:t>несдачу</w:t>
      </w:r>
      <w:proofErr w:type="spellEnd"/>
      <w:r w:rsidRPr="006713BB">
        <w:rPr>
          <w:rFonts w:ascii="Arial" w:hAnsi="Arial" w:cs="Arial"/>
          <w:color w:val="444444"/>
          <w:highlight w:val="yellow"/>
        </w:rPr>
        <w:t xml:space="preserve"> отчётности о прослеживаемых товарах пока не установлены.</w:t>
      </w:r>
      <w:r w:rsidRPr="006713BB">
        <w:rPr>
          <w:rFonts w:ascii="Arial" w:hAnsi="Arial" w:cs="Arial"/>
          <w:color w:val="444444"/>
        </w:rPr>
        <w:t xml:space="preserve"> С 1 июля 2022 планировалось ввести следующие штрафы:</w:t>
      </w:r>
    </w:p>
    <w:p w:rsidR="006713BB" w:rsidRPr="006713BB" w:rsidRDefault="006713BB" w:rsidP="006713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lastRenderedPageBreak/>
        <w:t xml:space="preserve">за </w:t>
      </w:r>
      <w:proofErr w:type="spellStart"/>
      <w:r w:rsidRPr="006713BB">
        <w:rPr>
          <w:rFonts w:ascii="Arial" w:hAnsi="Arial" w:cs="Arial"/>
          <w:color w:val="444444"/>
          <w:sz w:val="24"/>
          <w:szCs w:val="24"/>
        </w:rPr>
        <w:t>непредоставление</w:t>
      </w:r>
      <w:proofErr w:type="spellEnd"/>
      <w:r w:rsidRPr="006713BB">
        <w:rPr>
          <w:rFonts w:ascii="Arial" w:hAnsi="Arial" w:cs="Arial"/>
          <w:color w:val="444444"/>
          <w:sz w:val="24"/>
          <w:szCs w:val="24"/>
        </w:rPr>
        <w:t xml:space="preserve"> и нарушение сроков представления документов о </w:t>
      </w:r>
      <w:proofErr w:type="spellStart"/>
      <w:r w:rsidRPr="006713BB">
        <w:rPr>
          <w:rFonts w:ascii="Arial" w:hAnsi="Arial" w:cs="Arial"/>
          <w:color w:val="444444"/>
          <w:sz w:val="24"/>
          <w:szCs w:val="24"/>
        </w:rPr>
        <w:t>прослеживаемости</w:t>
      </w:r>
      <w:proofErr w:type="spellEnd"/>
      <w:r w:rsidRPr="006713BB">
        <w:rPr>
          <w:rFonts w:ascii="Arial" w:hAnsi="Arial" w:cs="Arial"/>
          <w:color w:val="444444"/>
          <w:sz w:val="24"/>
          <w:szCs w:val="24"/>
        </w:rPr>
        <w:t xml:space="preserve"> товаров — 1 000 рублей за каждый несданный документ;</w:t>
      </w:r>
    </w:p>
    <w:p w:rsidR="006713BB" w:rsidRPr="006713BB" w:rsidRDefault="006713BB" w:rsidP="006713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за ложные сведения или отсутствие сведений в счетах-фактурах или УПД в части, относящейся к прослеживаемым товарам — 1 000 рублей за каждый документ.</w:t>
      </w:r>
    </w:p>
    <w:p w:rsidR="006713BB" w:rsidRPr="006713BB" w:rsidRDefault="006713BB" w:rsidP="006713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за документ в бумажном формате — 200 рублей за каждый.</w:t>
      </w:r>
    </w:p>
    <w:p w:rsidR="006713BB" w:rsidRPr="006713BB" w:rsidRDefault="006713BB" w:rsidP="006713BB">
      <w:pPr>
        <w:shd w:val="clear" w:color="auto" w:fill="FCF2F2"/>
        <w:spacing w:after="0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Для поддержки бизнеса, а также повышения устойчивости экономики РФ ФНС совместно с Минфином </w:t>
      </w:r>
      <w:hyperlink r:id="rId6" w:tgtFrame="_blank" w:history="1">
        <w:r w:rsidRPr="006713BB">
          <w:rPr>
            <w:rStyle w:val="a4"/>
            <w:rFonts w:ascii="Arial" w:hAnsi="Arial" w:cs="Arial"/>
            <w:color w:val="2F9BE9"/>
            <w:sz w:val="24"/>
            <w:szCs w:val="24"/>
          </w:rPr>
          <w:t>предложили</w:t>
        </w:r>
      </w:hyperlink>
      <w:r w:rsidRPr="006713BB">
        <w:rPr>
          <w:rFonts w:ascii="Arial" w:hAnsi="Arial" w:cs="Arial"/>
          <w:color w:val="444444"/>
          <w:sz w:val="24"/>
          <w:szCs w:val="24"/>
        </w:rPr>
        <w:t> перенести срок вступления в силу закона об установлении ответственности участников оборота прослеживаемых товаров за нарушения на 1 января 2024 года.</w:t>
      </w:r>
    </w:p>
    <w:p w:rsidR="006713BB" w:rsidRPr="006713BB" w:rsidRDefault="006713BB" w:rsidP="006713BB">
      <w:pPr>
        <w:pStyle w:val="2"/>
        <w:shd w:val="clear" w:color="auto" w:fill="FFFFFF"/>
        <w:spacing w:before="0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Как заполнить отчёт</w:t>
      </w:r>
    </w:p>
    <w:p w:rsidR="006713BB" w:rsidRPr="006713BB" w:rsidRDefault="006713BB" w:rsidP="006713BB">
      <w:pPr>
        <w:pStyle w:val="mb-3"/>
        <w:shd w:val="clear" w:color="auto" w:fill="FFFFFF"/>
        <w:spacing w:before="0" w:beforeAutospacing="0"/>
        <w:rPr>
          <w:rFonts w:ascii="Arial" w:hAnsi="Arial" w:cs="Arial"/>
          <w:color w:val="444444"/>
        </w:rPr>
      </w:pPr>
      <w:r w:rsidRPr="006713BB">
        <w:rPr>
          <w:rFonts w:ascii="Arial" w:hAnsi="Arial" w:cs="Arial"/>
          <w:color w:val="444444"/>
        </w:rPr>
        <w:t>Форма отчёта о прослеживаемых товарах утверждена Приказом ФНС России от 8 июля 2021 года </w:t>
      </w:r>
      <w:hyperlink r:id="rId7" w:tgtFrame="_blank" w:history="1">
        <w:r w:rsidRPr="006713BB">
          <w:rPr>
            <w:rStyle w:val="a4"/>
            <w:rFonts w:ascii="Arial" w:hAnsi="Arial" w:cs="Arial"/>
            <w:color w:val="2F9BE9"/>
          </w:rPr>
          <w:t>№ ЕД-7-15/645@.</w:t>
        </w:r>
      </w:hyperlink>
    </w:p>
    <w:p w:rsidR="006713BB" w:rsidRPr="006713BB" w:rsidRDefault="006713BB" w:rsidP="006713BB">
      <w:pPr>
        <w:pStyle w:val="mb-3"/>
        <w:shd w:val="clear" w:color="auto" w:fill="FFFFFF"/>
        <w:spacing w:before="0" w:beforeAutospacing="0"/>
        <w:rPr>
          <w:rFonts w:ascii="Arial" w:hAnsi="Arial" w:cs="Arial"/>
          <w:color w:val="444444"/>
        </w:rPr>
      </w:pPr>
      <w:r w:rsidRPr="006713BB">
        <w:rPr>
          <w:rFonts w:ascii="Arial" w:hAnsi="Arial" w:cs="Arial"/>
          <w:color w:val="444444"/>
        </w:rPr>
        <w:t>Данные для заполнения берут из УПД или других документов, в которых упомянуты прослеживаемые товары. В отчёте указывают:</w:t>
      </w:r>
    </w:p>
    <w:p w:rsidR="006713BB" w:rsidRPr="006713BB" w:rsidRDefault="006713BB" w:rsidP="006713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код вида операции;</w:t>
      </w:r>
    </w:p>
    <w:p w:rsidR="006713BB" w:rsidRPr="006713BB" w:rsidRDefault="006713BB" w:rsidP="006713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реквизиты УПД, счетов-фактур и других документов, по которым совершена операция;</w:t>
      </w:r>
    </w:p>
    <w:p w:rsidR="006713BB" w:rsidRPr="006713BB" w:rsidRDefault="006713BB" w:rsidP="006713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наименование, ИНН и КПП контрагента;</w:t>
      </w:r>
    </w:p>
    <w:p w:rsidR="006713BB" w:rsidRPr="006713BB" w:rsidRDefault="006713BB" w:rsidP="006713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регистрационный номер партии товара (РНПТ);</w:t>
      </w:r>
    </w:p>
    <w:p w:rsidR="006713BB" w:rsidRPr="006713BB" w:rsidRDefault="006713BB" w:rsidP="006713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4"/>
          <w:szCs w:val="24"/>
        </w:rPr>
      </w:pPr>
      <w:r w:rsidRPr="006713BB">
        <w:rPr>
          <w:rFonts w:ascii="Arial" w:hAnsi="Arial" w:cs="Arial"/>
          <w:color w:val="444444"/>
          <w:sz w:val="24"/>
          <w:szCs w:val="24"/>
        </w:rPr>
        <w:t>количество и стоимость товаров без НДС по каждому РНПТ.</w:t>
      </w:r>
    </w:p>
    <w:p w:rsidR="006713BB" w:rsidRDefault="006713BB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713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https://astral.ru/info/elektronnaya-otchetnost/obshchie-voprosy-otchetnost/otchyet-o-proslezhivaemykh-tovarakh-/</w:t>
      </w:r>
    </w:p>
    <w:p w:rsidR="006713BB" w:rsidRDefault="006713BB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713BB" w:rsidRDefault="006713BB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713BB" w:rsidRPr="00611344" w:rsidRDefault="006713BB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2. По состоянию на 08.07.2021 в бух</w:t>
      </w:r>
      <w:proofErr w:type="gram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.</w:t>
      </w:r>
      <w:proofErr w:type="gram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</w:t>
      </w:r>
      <w:proofErr w:type="gram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у</w:t>
      </w:r>
      <w:proofErr w:type="gram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чете НКО числится Проектор </w:t>
      </w:r>
      <w:proofErr w:type="spell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Vivitek</w:t>
      </w:r>
      <w:proofErr w:type="spell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и </w:t>
      </w:r>
      <w:proofErr w:type="spell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Мультимедийный</w:t>
      </w:r>
      <w:proofErr w:type="spell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комплекс EPSON EB-L1715S, приобретенный в 2018,2019 годах. Продавать или передавать данные объекты НКО не планирует.</w:t>
      </w:r>
    </w:p>
    <w:p w:rsidR="00611344" w:rsidRPr="00C2328F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Вопрос: обязана ли НКО подать уведомление об остатках прослеживаемых товаров?</w:t>
      </w:r>
    </w:p>
    <w:p w:rsidR="007514B8" w:rsidRDefault="007514B8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14B8" w:rsidRPr="00830A68" w:rsidRDefault="007514B8" w:rsidP="007514B8">
      <w:pPr>
        <w:shd w:val="clear" w:color="auto" w:fill="FFFFFF"/>
        <w:spacing w:after="80" w:line="240" w:lineRule="auto"/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</w:pPr>
      <w:r w:rsidRPr="00830A68">
        <w:rPr>
          <w:rFonts w:ascii="Verdana" w:eastAsia="Times New Roman" w:hAnsi="Verdana" w:cs="Times New Roman"/>
          <w:b/>
          <w:bCs/>
          <w:color w:val="6B6B6B"/>
          <w:sz w:val="24"/>
          <w:szCs w:val="24"/>
          <w:lang w:eastAsia="ru-RU"/>
        </w:rPr>
        <w:lastRenderedPageBreak/>
        <w:t>Как отчитываться по остаткам прослеживаемых товаров?</w:t>
      </w:r>
    </w:p>
    <w:p w:rsidR="007514B8" w:rsidRDefault="007514B8" w:rsidP="007514B8">
      <w:pPr>
        <w:shd w:val="clear" w:color="auto" w:fill="FFFFFF"/>
        <w:spacing w:after="80" w:line="240" w:lineRule="auto"/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</w:pPr>
      <w:proofErr w:type="spellStart"/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>Прослеживаемость</w:t>
      </w:r>
      <w:proofErr w:type="spellEnd"/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 xml:space="preserve"> осуществляется в отношении всех товаров, которые были ранее ввезены и фактически находятся на территории РФ </w:t>
      </w:r>
      <w:r w:rsidRPr="007514B8">
        <w:rPr>
          <w:rFonts w:ascii="Verdana" w:eastAsia="Times New Roman" w:hAnsi="Verdana" w:cs="Times New Roman"/>
          <w:color w:val="6B6B6B"/>
          <w:sz w:val="24"/>
          <w:szCs w:val="24"/>
          <w:highlight w:val="yellow"/>
          <w:lang w:eastAsia="ru-RU"/>
        </w:rPr>
        <w:t xml:space="preserve">на день вступления в силу Постановления </w:t>
      </w:r>
      <w:r w:rsidR="006713BB">
        <w:rPr>
          <w:rFonts w:ascii="Verdana" w:eastAsia="Times New Roman" w:hAnsi="Verdana" w:cs="Times New Roman"/>
          <w:color w:val="6B6B6B"/>
          <w:sz w:val="24"/>
          <w:szCs w:val="24"/>
          <w:highlight w:val="yellow"/>
          <w:lang w:eastAsia="ru-RU"/>
        </w:rPr>
        <w:t xml:space="preserve">Правительства РФ </w:t>
      </w:r>
      <w:r w:rsidRPr="007514B8">
        <w:rPr>
          <w:rFonts w:ascii="Verdana" w:eastAsia="Times New Roman" w:hAnsi="Verdana" w:cs="Times New Roman"/>
          <w:color w:val="6B6B6B"/>
          <w:sz w:val="24"/>
          <w:szCs w:val="24"/>
          <w:highlight w:val="yellow"/>
          <w:lang w:eastAsia="ru-RU"/>
        </w:rPr>
        <w:t>№ 1110</w:t>
      </w:r>
      <w:r w:rsidR="006713BB">
        <w:rPr>
          <w:rFonts w:ascii="Verdana" w:eastAsia="Times New Roman" w:hAnsi="Verdana" w:cs="Times New Roman"/>
          <w:color w:val="6B6B6B"/>
          <w:sz w:val="24"/>
          <w:szCs w:val="24"/>
          <w:highlight w:val="yellow"/>
          <w:lang w:eastAsia="ru-RU"/>
        </w:rPr>
        <w:t xml:space="preserve"> от 01.07.2021</w:t>
      </w:r>
      <w:r w:rsidRPr="007514B8">
        <w:rPr>
          <w:rFonts w:ascii="Verdana" w:eastAsia="Times New Roman" w:hAnsi="Verdana" w:cs="Times New Roman"/>
          <w:color w:val="6B6B6B"/>
          <w:sz w:val="24"/>
          <w:szCs w:val="24"/>
          <w:highlight w:val="yellow"/>
          <w:lang w:eastAsia="ru-RU"/>
        </w:rPr>
        <w:t>.</w:t>
      </w:r>
    </w:p>
    <w:p w:rsidR="006713BB" w:rsidRPr="006713BB" w:rsidRDefault="006713BB" w:rsidP="007514B8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  <w:r w:rsidRPr="006713B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Дата опубликования</w:t>
      </w:r>
      <w:r w:rsidRPr="0067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6713BB">
        <w:rPr>
          <w:rStyle w:val="information2"/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3783D1"/>
        </w:rPr>
        <w:t>08.07.2021</w:t>
      </w:r>
    </w:p>
    <w:p w:rsidR="006713BB" w:rsidRPr="00830A68" w:rsidRDefault="006713BB" w:rsidP="007514B8">
      <w:pPr>
        <w:shd w:val="clear" w:color="auto" w:fill="FFFFFF"/>
        <w:spacing w:after="80" w:line="240" w:lineRule="auto"/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</w:pPr>
    </w:p>
    <w:p w:rsidR="007514B8" w:rsidRPr="00830A68" w:rsidRDefault="007514B8" w:rsidP="007514B8">
      <w:pPr>
        <w:shd w:val="clear" w:color="auto" w:fill="FFFFFF"/>
        <w:spacing w:after="80" w:line="240" w:lineRule="auto"/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</w:pPr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>Например, импортные холодильники, числящиеся в организации на 08.07.2021 в составе основных средств, также относятся к прослеживаемому товару и должны быть введены в оборот путем подачи уведомления об остатках прослеживаемого товара и получения на него РНПТ.</w:t>
      </w:r>
    </w:p>
    <w:p w:rsidR="007514B8" w:rsidRPr="00830A68" w:rsidRDefault="007514B8" w:rsidP="007514B8">
      <w:pPr>
        <w:shd w:val="clear" w:color="auto" w:fill="FFFFFF"/>
        <w:spacing w:after="80" w:line="240" w:lineRule="auto"/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</w:pPr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>Однако законодательство не требует производить незамедлительное и одномоментное получение РНПТ на такое имущество.</w:t>
      </w:r>
    </w:p>
    <w:p w:rsidR="007514B8" w:rsidRPr="00830A68" w:rsidRDefault="007514B8" w:rsidP="007514B8">
      <w:pPr>
        <w:shd w:val="clear" w:color="auto" w:fill="FFFFFF"/>
        <w:spacing w:after="80" w:line="240" w:lineRule="auto"/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</w:pPr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 xml:space="preserve">Можно направить в ФНС России уведомление об остатках товаров, подлежащих </w:t>
      </w:r>
      <w:proofErr w:type="spellStart"/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>прослеживаемости</w:t>
      </w:r>
      <w:proofErr w:type="spellEnd"/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>, в случае необходимости совершения операций с этим имуществом, например, ликвидацией, продажей и т. д. (письмо ФНС России от 30.06.2021 № ЕА-4-15/9195@).</w:t>
      </w:r>
    </w:p>
    <w:p w:rsidR="007514B8" w:rsidRPr="00830A68" w:rsidRDefault="007514B8" w:rsidP="007514B8">
      <w:pPr>
        <w:shd w:val="clear" w:color="auto" w:fill="FFFFFF"/>
        <w:spacing w:after="80" w:line="240" w:lineRule="auto"/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</w:pPr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>После получения РНПТ производимые с таким имуществом операции необходимо отразить:</w:t>
      </w:r>
    </w:p>
    <w:p w:rsidR="007514B8" w:rsidRPr="00830A68" w:rsidRDefault="007514B8" w:rsidP="007514B8">
      <w:pPr>
        <w:numPr>
          <w:ilvl w:val="0"/>
          <w:numId w:val="1"/>
        </w:numPr>
        <w:shd w:val="clear" w:color="auto" w:fill="FFFFFF"/>
        <w:spacing w:after="80" w:line="240" w:lineRule="auto"/>
        <w:ind w:left="0"/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</w:pPr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>при последующей реализации - либо в декларации по НДС (при выставлении счетов-фактур), либо в отчете об операциях с прослеживаемыми товарами (при выставлении УПД);</w:t>
      </w:r>
    </w:p>
    <w:p w:rsidR="007514B8" w:rsidRPr="00830A68" w:rsidRDefault="007514B8" w:rsidP="007514B8">
      <w:pPr>
        <w:numPr>
          <w:ilvl w:val="0"/>
          <w:numId w:val="1"/>
        </w:numPr>
        <w:shd w:val="clear" w:color="auto" w:fill="FFFFFF"/>
        <w:spacing w:after="80" w:line="240" w:lineRule="auto"/>
        <w:ind w:left="0"/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</w:pPr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>в отчете об операциях - при выбытии в связи с ликвидацией (физическим уничтожением).</w:t>
      </w:r>
    </w:p>
    <w:p w:rsidR="007514B8" w:rsidRPr="00830A68" w:rsidRDefault="007514B8" w:rsidP="007514B8">
      <w:pPr>
        <w:shd w:val="clear" w:color="auto" w:fill="FFFFFF"/>
        <w:spacing w:after="80" w:line="240" w:lineRule="auto"/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</w:pPr>
      <w:r w:rsidRPr="00830A68">
        <w:rPr>
          <w:rFonts w:ascii="Verdana" w:eastAsia="Times New Roman" w:hAnsi="Verdana" w:cs="Times New Roman"/>
          <w:i/>
          <w:iCs/>
          <w:color w:val="6B6B6B"/>
          <w:sz w:val="24"/>
          <w:szCs w:val="24"/>
          <w:lang w:eastAsia="ru-RU"/>
        </w:rPr>
        <w:t>Обратите внимание</w:t>
      </w:r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>, при выбытии в отчете об операциях указывается остаточная стоимость выбывающего имущества.</w:t>
      </w:r>
    </w:p>
    <w:p w:rsidR="007514B8" w:rsidRPr="00830A68" w:rsidRDefault="007514B8" w:rsidP="007514B8">
      <w:pPr>
        <w:shd w:val="clear" w:color="auto" w:fill="FFFFFF"/>
        <w:spacing w:after="80" w:line="240" w:lineRule="auto"/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</w:pPr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 xml:space="preserve">Если на момент выбытия ОС полностью </w:t>
      </w:r>
      <w:proofErr w:type="spellStart"/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>самортизировано</w:t>
      </w:r>
      <w:proofErr w:type="spellEnd"/>
      <w:r w:rsidRPr="00830A68">
        <w:rPr>
          <w:rFonts w:ascii="Verdana" w:eastAsia="Times New Roman" w:hAnsi="Verdana" w:cs="Times New Roman"/>
          <w:color w:val="6B6B6B"/>
          <w:sz w:val="24"/>
          <w:szCs w:val="24"/>
          <w:lang w:eastAsia="ru-RU"/>
        </w:rPr>
        <w:t>, то проставляется нулевое значение.</w:t>
      </w:r>
    </w:p>
    <w:p w:rsidR="006713BB" w:rsidRPr="006713BB" w:rsidRDefault="007514B8" w:rsidP="006713BB">
      <w:pPr>
        <w:pStyle w:val="1"/>
        <w:spacing w:before="0" w:beforeAutospacing="0" w:after="161" w:afterAutospacing="0"/>
        <w:rPr>
          <w:b w:val="0"/>
          <w:bCs w:val="0"/>
          <w:color w:val="757575"/>
          <w:sz w:val="20"/>
          <w:szCs w:val="20"/>
        </w:rPr>
      </w:pPr>
      <w:r w:rsidRPr="00830A68">
        <w:rPr>
          <w:rFonts w:ascii="Verdana" w:hAnsi="Verdana"/>
          <w:color w:val="6B6B6B"/>
          <w:sz w:val="9"/>
          <w:szCs w:val="9"/>
        </w:rPr>
        <w:br/>
      </w:r>
    </w:p>
    <w:p w:rsidR="006713BB" w:rsidRPr="006713BB" w:rsidRDefault="006713BB" w:rsidP="006713BB">
      <w:pPr>
        <w:shd w:val="clear" w:color="auto" w:fill="FFFFFF"/>
        <w:spacing w:before="240" w:after="240" w:line="158" w:lineRule="atLeast"/>
        <w:jc w:val="center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МИНИСТЕРСТВО ФИНАНСОВ РОССИЙСКОЙ ФЕДЕРАЦИИ</w:t>
      </w:r>
    </w:p>
    <w:p w:rsidR="006713BB" w:rsidRPr="006713BB" w:rsidRDefault="006713BB" w:rsidP="006713BB">
      <w:pPr>
        <w:shd w:val="clear" w:color="auto" w:fill="FFFFFF"/>
        <w:spacing w:before="240" w:after="240" w:line="158" w:lineRule="atLeast"/>
        <w:jc w:val="center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ФЕДЕРАЛЬНАЯ НАЛОГОВАЯ СЛУЖБА</w:t>
      </w:r>
    </w:p>
    <w:p w:rsidR="006713BB" w:rsidRPr="006713BB" w:rsidRDefault="006713BB" w:rsidP="006713BB">
      <w:pPr>
        <w:shd w:val="clear" w:color="auto" w:fill="FFFFFF"/>
        <w:spacing w:before="240" w:after="240" w:line="158" w:lineRule="atLeast"/>
        <w:jc w:val="center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ПИСЬМО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>от 30 июня 2021 г. N ЕА-4-15/9195@</w:t>
      </w:r>
    </w:p>
    <w:p w:rsidR="006713BB" w:rsidRPr="006713BB" w:rsidRDefault="006713BB" w:rsidP="006713BB">
      <w:pPr>
        <w:shd w:val="clear" w:color="auto" w:fill="FFFFFF"/>
        <w:spacing w:before="240" w:after="240" w:line="158" w:lineRule="atLeast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Федеральная налоговая служба, рассмотрев обращение Акционерного общества по вопросу представления отчетности по товарам, подлежащим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, приобретенным для использования в хозяйственной деятельности организации (для собственных нужд), сообщает следующее.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Понятийный аппарат, применяемый в рамках национальной системы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товаров, закреплен в проекте постановления Правительства Российской Федерации «Об утверждении Порядка функционирования национальной системы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товаров» (далее — Проект постановления), который в настоящее время проходит процедуру утверждения.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proofErr w:type="gram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Для целей национальной системы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товаров под «товаром, 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lastRenderedPageBreak/>
        <w:t xml:space="preserve">подлежащим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» понимается имущество, находящееся в собственности участника оборота товаров, соответствующее поименованным в Перечне товаров, подлежащих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на территории Российской Федерации (далее — Перечень товаров), кодам вида товара в соответствии с единой Товарной номенклатурой внешнеэкономической деятельности Евразийского экономического союза, в отношении которого осуществляется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прослеживаемость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  <w:proofErr w:type="gram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Таким образом, имущество, находящееся в собственности налогоплательщика, соответствующее кодам единой Товарной номенклатуры внешнеэкономической деятельности Евразийского экономического союза, указанным в Перечне товаров, подлежит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, в том числе и используемое для собственных нужд, в качестве сре</w:t>
      </w:r>
      <w:proofErr w:type="gram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дств пр</w:t>
      </w:r>
      <w:proofErr w:type="gram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оизводства (переведено из состава товара в состав основных средств), малоценное имущество, используемое в основной деятельности.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КонсультантПлюс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: примечание.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>В тексте документа, видимо, допущена опечатка: Федеральный закон N 371-ФЗ имеет дату 09.11.2020, а не 09.11.2021.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proofErr w:type="gram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В соответствии с пунктом 5 статьи 169 Налогового кодекса Российской Федерации в редакции Федерального закона от 09.11.2021 N 371-ФЗ «О внесении изменений в части первую и вторую Налогового кодекса Российской Федерации и Закон Российской Федерации «О налоговых органах Российской Федерации» (далее — Кодекс) </w:t>
      </w:r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при реализации товаров, подлежащих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, в счете-фактуре подлежат указанию реквизиты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 (регистрационный номер партии товара, подлежащего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 (далее</w:t>
      </w:r>
      <w:proofErr w:type="gramEnd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 — </w:t>
      </w:r>
      <w:proofErr w:type="gramStart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РНПТ), количественная единица измерения товара, используемая в целях осуществления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, количество товара, подлежащего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, в количественной единице измерения товара, используемой в целях осуществления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(далее — реквизиты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)).</w:t>
      </w:r>
      <w:proofErr w:type="gram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proofErr w:type="gram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В соответствии с пунктом 28 Проекта постановления </w:t>
      </w:r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для присвоения РНПТ на имеющиеся в собственности на момент вступления в силу Перечня товаров, юридическим лицом (индивидуальным предпринимателем) в ФНС России в электронной форме по телекоммуникационным каналам связи через оператора электронного документооборота направляется уведомление об имеющихся остатках товаров, подлежащих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 (далее — Уведомление об остатках).</w:t>
      </w:r>
      <w:proofErr w:type="gram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proofErr w:type="gram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В силу положений пункта 28 Проекта постановления в последней редакции в отношении остатков товаров, подлежащих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имеющихся в собственности на момент вступления в силу Перечня товаров у хозяйствующих субъектов, </w:t>
      </w:r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>срок представления уведомления об остатках — не позднее даты совершения с товаром таких операций, как реализация (в том числе за пределы Российской Федерации), передача товаров комитентом для реализации комиссионеру, действующему от своего</w:t>
      </w:r>
      <w:proofErr w:type="gramEnd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 имени, безвозмездная передача товара, прекращение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 (например, утилизация), передача товара в качестве вклада в уставный капитал и т.д.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</w:r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 xml:space="preserve">Иными словами, если с товаром будут осуществляться операции (например, утилизация, продажа и т.д.), то перед совершением указанных операций необходимо представить уведомление об остатках для присвоения РНПТ. Впоследствии сведения об указанных операциях подлежат отражению в налоговой декларации по налогу на добавленную стоимость или отчете об операциях с товарами, подлежащими </w:t>
      </w:r>
      <w:proofErr w:type="spellStart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>прослеживаемости</w:t>
      </w:r>
      <w:proofErr w:type="spellEnd"/>
      <w:r w:rsidRPr="006713BB">
        <w:rPr>
          <w:rFonts w:ascii="Arial" w:eastAsia="Times New Roman" w:hAnsi="Arial" w:cs="Arial"/>
          <w:color w:val="464646"/>
          <w:sz w:val="24"/>
          <w:szCs w:val="24"/>
          <w:highlight w:val="yellow"/>
          <w:lang w:eastAsia="ru-RU"/>
        </w:rPr>
        <w:t>, с указанием соответствующего РНПТ.</w:t>
      </w:r>
    </w:p>
    <w:p w:rsidR="006713BB" w:rsidRPr="006713BB" w:rsidRDefault="006713BB" w:rsidP="006713BB">
      <w:pPr>
        <w:shd w:val="clear" w:color="auto" w:fill="FFFFFF"/>
        <w:spacing w:before="240" w:after="240" w:line="158" w:lineRule="atLeast"/>
        <w:jc w:val="right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lastRenderedPageBreak/>
        <w:t>Государственный советник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>Российской Федерации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>2 класса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>А.В.ЕГОРИЧЕВ</w:t>
      </w:r>
      <w:r w:rsidRPr="006713BB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>30.06.2021</w:t>
      </w:r>
    </w:p>
    <w:p w:rsidR="007514B8" w:rsidRPr="0009591B" w:rsidRDefault="007514B8" w:rsidP="007514B8">
      <w:pPr>
        <w:spacing w:before="100" w:beforeAutospacing="1" w:after="100" w:afterAutospacing="1" w:line="480" w:lineRule="atLeast"/>
        <w:ind w:left="310" w:right="233"/>
        <w:rPr>
          <w:rFonts w:ascii="Verdana" w:hAnsi="Verdana"/>
          <w:color w:val="000000"/>
          <w:sz w:val="24"/>
          <w:szCs w:val="24"/>
        </w:rPr>
      </w:pPr>
    </w:p>
    <w:p w:rsidR="007514B8" w:rsidRDefault="007514B8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14B8" w:rsidRDefault="007514B8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14B8" w:rsidRPr="00611344" w:rsidRDefault="007514B8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3. В январе 2021 года НКО заключило договор с АО Почта России на услуги забора и выдачи почты клиента. Услуги контрагент оказывал ежемесячно, но акты на оказанные услуги не оформлял до августа 2021. В августе 2021 Почта оформила единый акт за все месяцы с января, НКО акт подписала и отразила в учете. Через год, в августе 2022 Почта сформировала корректировочный акт и счет-фактуру </w:t>
      </w: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highlight w:val="yellow"/>
          <w:lang w:eastAsia="ru-RU"/>
        </w:rPr>
        <w:t>на уменьшение</w:t>
      </w: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за период с января 2021 по август 2021, так как ошибочно применила неверный тариф за свои услуги в тот период.</w:t>
      </w: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Источник целевых средств, за счет которых был отражен расход в августе 2021 года, полностью исчерпан. Срок использования источника истек в ноябре 2021. Отчет Жертвователю предоставлен.</w:t>
      </w: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Бух</w:t>
      </w:r>
      <w:proofErr w:type="gram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.п</w:t>
      </w:r>
      <w:proofErr w:type="gram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роводки</w:t>
      </w:r>
      <w:proofErr w:type="spell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в августе 2021:</w:t>
      </w: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proofErr w:type="gram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Д-т</w:t>
      </w:r>
      <w:proofErr w:type="spellEnd"/>
      <w:proofErr w:type="gram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60 </w:t>
      </w:r>
      <w:proofErr w:type="spell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К-т</w:t>
      </w:r>
      <w:proofErr w:type="spell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51 – 36 691,20;</w:t>
      </w: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proofErr w:type="gram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Д-т</w:t>
      </w:r>
      <w:proofErr w:type="spellEnd"/>
      <w:proofErr w:type="gram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26 </w:t>
      </w:r>
      <w:proofErr w:type="spell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К-т</w:t>
      </w:r>
      <w:proofErr w:type="spell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60 – 36 691,20;</w:t>
      </w: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proofErr w:type="gram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Д-т</w:t>
      </w:r>
      <w:proofErr w:type="spellEnd"/>
      <w:proofErr w:type="gram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86 Источник №1 </w:t>
      </w:r>
      <w:proofErr w:type="spell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К-т</w:t>
      </w:r>
      <w:proofErr w:type="spell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26 – 36 691,20.</w:t>
      </w: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Бух</w:t>
      </w:r>
      <w:proofErr w:type="gram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.п</w:t>
      </w:r>
      <w:proofErr w:type="gram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роводки</w:t>
      </w:r>
      <w:proofErr w:type="spell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в августе 2022:</w:t>
      </w: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proofErr w:type="gram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Д-т</w:t>
      </w:r>
      <w:proofErr w:type="spellEnd"/>
      <w:proofErr w:type="gram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60 </w:t>
      </w:r>
      <w:proofErr w:type="spell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К-т</w:t>
      </w:r>
      <w:proofErr w:type="spell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91.01 – 18 787,20;</w:t>
      </w: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highlight w:val="cyan"/>
          <w:lang w:eastAsia="ru-RU"/>
        </w:rPr>
        <w:lastRenderedPageBreak/>
        <w:t>Д-т</w:t>
      </w:r>
      <w:proofErr w:type="spell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highlight w:val="cyan"/>
          <w:lang w:eastAsia="ru-RU"/>
        </w:rPr>
        <w:t xml:space="preserve"> 91.01 </w:t>
      </w:r>
      <w:proofErr w:type="spell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highlight w:val="cyan"/>
          <w:lang w:eastAsia="ru-RU"/>
        </w:rPr>
        <w:t>К-т</w:t>
      </w:r>
      <w:proofErr w:type="spell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highlight w:val="cyan"/>
          <w:lang w:eastAsia="ru-RU"/>
        </w:rPr>
        <w:t xml:space="preserve"> 86 Источник №1 -</w:t>
      </w:r>
      <w:proofErr w:type="gramStart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highlight w:val="cyan"/>
          <w:lang w:eastAsia="ru-RU"/>
        </w:rPr>
        <w:t xml:space="preserve"> ?</w:t>
      </w:r>
      <w:proofErr w:type="gramEnd"/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highlight w:val="cyan"/>
          <w:lang w:eastAsia="ru-RU"/>
        </w:rPr>
        <w:t>?? – 36 691, 20</w:t>
      </w:r>
    </w:p>
    <w:p w:rsidR="00611344" w:rsidRPr="00611344" w:rsidRDefault="00611344" w:rsidP="00611344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1134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Вопрос: как правильно начислить источник финансирования в 2022 году? Возникает ли необходимость корректировки листа 07 декларации по налогу на прибыль и отчетности, предоставленной Жертвователю? </w:t>
      </w:r>
    </w:p>
    <w:p w:rsidR="00627CA4" w:rsidRDefault="00627CA4"/>
    <w:p w:rsidR="00F60228" w:rsidRDefault="00F60228"/>
    <w:p w:rsidR="00F60228" w:rsidRDefault="00F60228"/>
    <w:p w:rsidR="00F60228" w:rsidRPr="00C2328F" w:rsidRDefault="00F60228">
      <w:pPr>
        <w:rPr>
          <w:sz w:val="24"/>
          <w:szCs w:val="24"/>
        </w:rPr>
      </w:pPr>
      <w:hyperlink r:id="rId8" w:history="1">
        <w:r w:rsidRPr="00C2328F">
          <w:rPr>
            <w:rStyle w:val="a4"/>
            <w:rFonts w:ascii="Arial" w:hAnsi="Arial" w:cs="Arial"/>
            <w:b/>
            <w:bCs/>
            <w:color w:val="FF9900"/>
            <w:sz w:val="24"/>
            <w:szCs w:val="24"/>
            <w:shd w:val="clear" w:color="auto" w:fill="FFFFFF"/>
          </w:rPr>
          <w:t>&lt;Информация&gt; Минфина России "Об особенностях формирования бухгалтерской (финансовой) отчетности некоммерческих организаций (ПЗ-1/2015)"</w:t>
        </w:r>
      </w:hyperlink>
    </w:p>
    <w:p w:rsidR="00F60228" w:rsidRPr="00C2328F" w:rsidRDefault="00F60228">
      <w:pPr>
        <w:rPr>
          <w:sz w:val="24"/>
          <w:szCs w:val="24"/>
        </w:rPr>
      </w:pPr>
      <w:r w:rsidRPr="00C2328F">
        <w:rPr>
          <w:color w:val="000000"/>
          <w:sz w:val="24"/>
          <w:szCs w:val="24"/>
          <w:shd w:val="clear" w:color="auto" w:fill="FFFFFF"/>
        </w:rPr>
        <w:t xml:space="preserve">24. </w:t>
      </w:r>
      <w:proofErr w:type="gramStart"/>
      <w:r w:rsidRPr="00C2328F">
        <w:rPr>
          <w:color w:val="000000"/>
          <w:sz w:val="24"/>
          <w:szCs w:val="24"/>
          <w:shd w:val="clear" w:color="auto" w:fill="FFFFFF"/>
        </w:rPr>
        <w:t>Сумма чистой прибыли отчетного года списывается некоммерческой организацией заключительными оборотами декабря в кредит счета 86 "Целевое финансирование" в корреспонденции со счетом 99 "Прибыли и убытки" и отражается в бухгалтерском балансе в разделе III "Целевое финансирование" по группе статей "Целевые средства" и в отчете о целевом использовании средств по статье "Прибыль от приносящей доход деятельности".</w:t>
      </w:r>
      <w:proofErr w:type="gramEnd"/>
      <w:r w:rsidRPr="00C2328F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2328F">
        <w:rPr>
          <w:color w:val="000000"/>
          <w:sz w:val="24"/>
          <w:szCs w:val="24"/>
          <w:shd w:val="clear" w:color="auto" w:fill="FFFFFF"/>
        </w:rPr>
        <w:t>Сумма чистого убытка отчетного года списывается заключительными оборотами декабря в дебет счета 86 "Целевое финансирование" в корреспонденции со счетом 99 "Прибыли и убытки" с отражением в бухгалтерском балансе в разделе III "Целевое финансирование" по группе статей "Целевые средства" и в отчете о целевом использовании средств в составе использованных средств по статье "Прочие" с выделением в случае существенности обособленной статьи "Убытки</w:t>
      </w:r>
      <w:proofErr w:type="gramEnd"/>
      <w:r w:rsidRPr="00C2328F">
        <w:rPr>
          <w:color w:val="000000"/>
          <w:sz w:val="24"/>
          <w:szCs w:val="24"/>
          <w:shd w:val="clear" w:color="auto" w:fill="FFFFFF"/>
        </w:rPr>
        <w:t xml:space="preserve"> от деятельности организации".</w:t>
      </w:r>
    </w:p>
    <w:sectPr w:rsidR="00F60228" w:rsidRPr="00C2328F" w:rsidSect="0062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8D1"/>
    <w:multiLevelType w:val="multilevel"/>
    <w:tmpl w:val="BC32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D43C5"/>
    <w:multiLevelType w:val="multilevel"/>
    <w:tmpl w:val="4560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A23C2"/>
    <w:multiLevelType w:val="multilevel"/>
    <w:tmpl w:val="153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A512E"/>
    <w:multiLevelType w:val="multilevel"/>
    <w:tmpl w:val="3AFC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32F25"/>
    <w:multiLevelType w:val="multilevel"/>
    <w:tmpl w:val="D892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11344"/>
    <w:rsid w:val="00611344"/>
    <w:rsid w:val="00627CA4"/>
    <w:rsid w:val="006713BB"/>
    <w:rsid w:val="007514B8"/>
    <w:rsid w:val="00B00182"/>
    <w:rsid w:val="00C2328F"/>
    <w:rsid w:val="00F6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A4"/>
  </w:style>
  <w:style w:type="paragraph" w:styleId="1">
    <w:name w:val="heading 1"/>
    <w:basedOn w:val="a"/>
    <w:link w:val="10"/>
    <w:uiPriority w:val="9"/>
    <w:qFormat/>
    <w:rsid w:val="00611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2">
    <w:name w:val="information2"/>
    <w:basedOn w:val="a0"/>
    <w:rsid w:val="006713BB"/>
  </w:style>
  <w:style w:type="character" w:styleId="a4">
    <w:name w:val="Hyperlink"/>
    <w:basedOn w:val="a0"/>
    <w:uiPriority w:val="99"/>
    <w:semiHidden/>
    <w:unhideWhenUsed/>
    <w:rsid w:val="006713BB"/>
    <w:rPr>
      <w:color w:val="0000FF"/>
      <w:u w:val="single"/>
    </w:rPr>
  </w:style>
  <w:style w:type="character" w:customStyle="1" w:styleId="entry-visits">
    <w:name w:val="entry-visits"/>
    <w:basedOn w:val="a0"/>
    <w:rsid w:val="006713BB"/>
  </w:style>
  <w:style w:type="character" w:styleId="a5">
    <w:name w:val="Strong"/>
    <w:basedOn w:val="a0"/>
    <w:uiPriority w:val="22"/>
    <w:qFormat/>
    <w:rsid w:val="006713B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1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b-0">
    <w:name w:val="mb-0"/>
    <w:basedOn w:val="a"/>
    <w:rsid w:val="0067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2">
    <w:name w:val="mb-32"/>
    <w:basedOn w:val="a"/>
    <w:rsid w:val="0067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">
    <w:name w:val="mb-3"/>
    <w:basedOn w:val="a"/>
    <w:rsid w:val="0067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60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427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16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963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959">
              <w:marLeft w:val="0"/>
              <w:marRight w:val="141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10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docs/117053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news/activities_fts/12228433/" TargetMode="External"/><Relationship Id="rId5" Type="http://schemas.openxmlformats.org/officeDocument/2006/relationships/hyperlink" Target="http://publication.pravo.gov.ru/Document/View/0001202107080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</dc:creator>
  <cp:lastModifiedBy>Неверов</cp:lastModifiedBy>
  <cp:revision>2</cp:revision>
  <dcterms:created xsi:type="dcterms:W3CDTF">2022-09-19T17:32:00Z</dcterms:created>
  <dcterms:modified xsi:type="dcterms:W3CDTF">2022-09-19T18:47:00Z</dcterms:modified>
</cp:coreProperties>
</file>