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DA" w:rsidRPr="00D648DA" w:rsidRDefault="00D648DA" w:rsidP="00D648DA">
      <w:pPr>
        <w:shd w:val="clear" w:color="auto" w:fill="FFFFFF"/>
        <w:spacing w:after="210" w:line="450" w:lineRule="atLeast"/>
        <w:textAlignment w:val="top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О </w:t>
      </w:r>
      <w:proofErr w:type="spellStart"/>
      <w:r w:rsidRPr="00D648DA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владельцах некоммерческих организаций</w:t>
      </w:r>
    </w:p>
    <w:p w:rsidR="00D648DA" w:rsidRPr="00D648DA" w:rsidRDefault="00D648DA" w:rsidP="00D648DA">
      <w:pPr>
        <w:shd w:val="clear" w:color="auto" w:fill="FFFFFF"/>
        <w:spacing w:after="0" w:line="195" w:lineRule="atLeast"/>
        <w:textAlignment w:val="top"/>
        <w:rPr>
          <w:rFonts w:ascii="Georgia" w:eastAsia="Times New Roman" w:hAnsi="Georgia" w:cs="Times New Roman"/>
          <w:color w:val="555E69"/>
          <w:sz w:val="18"/>
          <w:szCs w:val="18"/>
          <w:lang w:eastAsia="ru-RU"/>
        </w:rPr>
      </w:pPr>
      <w:r w:rsidRPr="00D648DA">
        <w:rPr>
          <w:rFonts w:ascii="Georgia" w:eastAsia="Times New Roman" w:hAnsi="Georgia" w:cs="Times New Roman"/>
          <w:color w:val="555E69"/>
          <w:sz w:val="18"/>
          <w:szCs w:val="18"/>
          <w:lang w:eastAsia="ru-RU"/>
        </w:rPr>
        <w:t>Отрасль права: </w:t>
      </w:r>
      <w:hyperlink r:id="rId5" w:history="1">
        <w:r w:rsidRPr="00D648DA">
          <w:rPr>
            <w:rFonts w:ascii="Georgia" w:eastAsia="Times New Roman" w:hAnsi="Georgia" w:cs="Times New Roman"/>
            <w:color w:val="3494D4"/>
            <w:sz w:val="18"/>
            <w:u w:val="single"/>
            <w:lang w:eastAsia="ru-RU"/>
          </w:rPr>
          <w:t>Гражданское право</w:t>
        </w:r>
      </w:hyperlink>
    </w:p>
    <w:p w:rsidR="00D648DA" w:rsidRPr="00D648DA" w:rsidRDefault="00D648DA" w:rsidP="00D648DA">
      <w:pPr>
        <w:shd w:val="clear" w:color="auto" w:fill="FFFFFF"/>
        <w:spacing w:after="0" w:line="240" w:lineRule="atLeast"/>
        <w:jc w:val="right"/>
        <w:textAlignment w:val="top"/>
        <w:rPr>
          <w:rFonts w:ascii="Georgia" w:eastAsia="Times New Roman" w:hAnsi="Georgia" w:cs="Times New Roman"/>
          <w:b/>
          <w:bCs/>
          <w:color w:val="A2A2A2"/>
          <w:sz w:val="20"/>
          <w:szCs w:val="20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A2A2A2"/>
          <w:sz w:val="20"/>
          <w:szCs w:val="20"/>
          <w:lang w:eastAsia="ru-RU"/>
        </w:rPr>
        <w:t>24.09.2020 — 11:20</w:t>
      </w:r>
    </w:p>
    <w:p w:rsidR="00D648DA" w:rsidRPr="00D648DA" w:rsidRDefault="00D648DA" w:rsidP="00D648DA">
      <w:pPr>
        <w:shd w:val="clear" w:color="auto" w:fill="FFFFFF"/>
        <w:spacing w:line="240" w:lineRule="auto"/>
        <w:textAlignment w:val="top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hyperlink r:id="rId6" w:tgtFrame="_blank" w:tooltip="Еще..." w:history="1">
        <w:r w:rsidRPr="00D648DA">
          <w:rPr>
            <w:rFonts w:ascii="Georgia" w:eastAsia="Times New Roman" w:hAnsi="Georgia" w:cs="Times New Roman"/>
            <w:b/>
            <w:bCs/>
            <w:color w:val="333333"/>
            <w:sz w:val="17"/>
            <w:lang w:eastAsia="ru-RU"/>
          </w:rPr>
          <w:t>0</w:t>
        </w:r>
      </w:hyperlink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Ситуация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При открытии расчётного счёта банк требует у Образовательного фонда предоставить сведения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владельцах.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Письмо об отсутствии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у фонда, как у некоммерческой организации, банк не устроило со следующей мотивацией: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На основании п. 1.2 ст.7 Федерального закона 115-ФЗ, идентификация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владельцев не проводится только в случае принятия на обслуживание клиентов, являющихся:</w:t>
      </w:r>
    </w:p>
    <w:p w:rsidR="00D648DA" w:rsidRPr="00D648DA" w:rsidRDefault="00D648DA" w:rsidP="00D64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Органами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капитале;</w:t>
      </w:r>
    </w:p>
    <w:p w:rsidR="00D648DA" w:rsidRPr="00D648DA" w:rsidRDefault="00D648DA" w:rsidP="00D64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правоспособностью;</w:t>
      </w:r>
    </w:p>
    <w:p w:rsidR="00D648DA" w:rsidRPr="00D648DA" w:rsidRDefault="00D648DA" w:rsidP="00D64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</w:r>
    </w:p>
    <w:p w:rsidR="00D648DA" w:rsidRPr="00D648DA" w:rsidRDefault="00D648DA" w:rsidP="00D64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Иностранными организациями, ценные бумаги которых прошли процедуру листинга на иностранной бирже, входящей в перечень, утверждённый Банком России.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У всех остальных, даже у некоммерческих организаций, если они (или их участники, более 50% доли которых принадлежит государству) не относятся к выше </w:t>
      </w:r>
      <w:proofErr w:type="gram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перечисленным</w:t>
      </w:r>
      <w:proofErr w:type="gram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, должны выявлять бенефициара. В случае невозможности выявления необходимо признать таковым руководителя компании (ЕИО).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Разбор: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 проблемой идентификации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сталкиваются многие некоммерческие организации, в том числе благотворительные фонды, образовательные организации в форме автономных некоммерческих организаций, товарищества собственников недвижимости, потребительские кооперативы.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На мой взгляд, проблема является надуманной, т.к. вполне очевидно, что у некоммерческой организации не может быть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бенефициарного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владельца.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Однако при принятии клиентов на обслуживание банки безапелляционно требуют предоставить информацию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 организации.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Так называемые «комфортные письма» организаций об отсутствии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у некоммерческой организации не вписываются в мироощущение представителей банков: как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мантра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повторяется </w:t>
      </w:r>
      <w:hyperlink r:id="rId7" w:anchor="block_6101" w:tgtFrame="_blank" w:history="1">
        <w:r w:rsidRPr="00D648DA">
          <w:rPr>
            <w:rFonts w:ascii="Georgia" w:eastAsia="Times New Roman" w:hAnsi="Georgia" w:cs="Times New Roman"/>
            <w:color w:val="3494D4"/>
            <w:sz w:val="21"/>
            <w:u w:val="single"/>
            <w:lang w:eastAsia="ru-RU"/>
          </w:rPr>
          <w:t>п. 1 ст. 6.1</w:t>
        </w:r>
      </w:hyperlink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Федерального закона от 07.08.2001 № 115-ФЗ «О противодействии легализации (отмыванию) доходов, полученных преступным путём и финансированию терроризма» (далее – ФЗ о противодействии легализации), в соответствии с которым юридическое лицо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обязано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располагать информацией о своих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владельцах и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принимать обоснованные и доступные в сложившихся обстоятельствах меры по установлению в отношении своих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сведений, предусмотренных абзацем вторым подпункта 1 пункта 1 статьи 7 ФЗ о противодействии легализации (ФИО, гражданство, дату рождения, реквизиты документа, удостоверяющего личность и пр.).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Если организация не располагает сведениями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 (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бенефициарный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владелец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не выявлен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), банк буквально требует указать таковым единоличный исполнительный орган, ссылаясь на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абз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7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пп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2 п. 1 ст. 7 ФЗ о противодействии легализации.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Аналогичная позиция ранее находила своё отражение в письме Банка России от 28.01.2014 № 14-Т «Об Информационном письме по вопросам идентификации организациями, осуществляющими операции с денежными средствами или иным имуществом,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владельцев».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Однако, как позднее указал Банк России в Методических рекомендациях по идентификации кредитными организациями 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некредитными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финансовыми организациями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клиентов - юридических лиц (утверждены 27.06.2017 № 12-МР), в случае непредставления клиентом - юридическим лицом сведений о своём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не допускать признания </w:t>
      </w:r>
      <w:proofErr w:type="spellStart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бенефициарным</w:t>
      </w:r>
      <w:proofErr w:type="spellEnd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 владельцем клиента его единоличного исполнительного органа в «автоматическом» порядке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то есть без проведения соответствующих мероприятий и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анализа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полученных от клиента документов и сведений. На практике не исключены случаи, когда ЕИО может быть обоснованно признан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владельцем юридического лица, если будет установлено, что ЕИО соответствует критериям, определённым ст. 3 ФЗ о противодействии легализации.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При этом</w:t>
      </w:r>
      <w:proofErr w:type="gram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,</w:t>
      </w:r>
      <w:proofErr w:type="gram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неисполнение юридическим лицом обязанностей по установлению, обновлению, хранению и представлению информации о своих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владельцах либо о принятых мерах по установлению в отношении своих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владельцев сведений, определённых законодательством РФ, по запросу уполномоченного органа (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Росфинмониторинга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) или налоговых органов влечёт наложение административного штрафа на должностных лиц в размере от 30 000 до 40 000 рублей; на юридических лиц - от 100 000 до 500 000 рублей (</w:t>
      </w:r>
      <w:hyperlink r:id="rId8" w:anchor="block_14251" w:tgtFrame="_blank" w:history="1">
        <w:r w:rsidRPr="00D648DA">
          <w:rPr>
            <w:rFonts w:ascii="Georgia" w:eastAsia="Times New Roman" w:hAnsi="Georgia" w:cs="Times New Roman"/>
            <w:i/>
            <w:iCs/>
            <w:color w:val="3494D4"/>
            <w:sz w:val="21"/>
            <w:u w:val="single"/>
            <w:lang w:eastAsia="ru-RU"/>
          </w:rPr>
          <w:t>ст. 14.25.1</w:t>
        </w:r>
      </w:hyperlink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 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КоАП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РФ).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Вышеперечисленные обязанности распространяются на всех юридических лиц, за исключением списка, приведённого в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абз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2 - 5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пп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2) п. 1 ст. 7 ФЗ о противодействии легализации. В него включены, например, органы государственной власти, иные государственные органы, органы местного самоуправления, учреждения, находящиеся в их ведении, государственные внебюджетные фонды, государственные корпорации или организации, в которых Российская Федерация, субъекты РФ либо муниципальные образования имеют более 50% акций (долей) в капитале. Что вполне очевидно точно так же, как и тот факт, что Российская Федерация как публичное образование не может быть отнесена к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аффилированным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лицам.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 соответствии с п. 8 ст. 6 ФЗ о противодействии легализации под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владельцем понимается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физическое лицо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которое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конечном счёте прямо или косвенно (через третьих лиц)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владеет (имеет преобладающее участие более 25 % в капитале) юридическим лицом либо имеет возможность контролировать его действия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Кроме того, в соответствии с п. 3.3 Положения Банка России от 02.03.2012 года № 375-П кредитная организация принимает решение о признании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физического лица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владельцем при наличии у такого лица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возможности контролировать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действия клиента с учётом следующих факторов: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 физическое лицо прямо или косвенно (через третьих лиц, в том числе через юридическое лицо, нескольких юридических лиц либо группу связанных юридических лиц) имеет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преобладающее участие (более 25%) в капитале клиента или владеет более 25% от общего числа акций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клиента с правом голоса;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 физическое лицо имеет право (возможность), в том числе на основании договора с клиентом,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оказывать прямое или косвенное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(через третьих лиц, в том числе через юридическое лицо, нескольких юридических лиц либо группу связанных юридических лиц)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существенное влияние на решения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принимаемые клиентом, использовать свои полномочия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с целью оказания влияния на величину дохода клиента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физическое лицо имеет возможность воздействовать на принимаемые клиентом решения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 осуществлении сделок (в том числе, несущих кредитный риск (о выдаче кредитов, гарантий и т.д.), а также финансовых операций.</w:t>
      </w:r>
      <w:proofErr w:type="gramEnd"/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Согласно пункту 3.4 Положения Банка России от 02.03.2012 № 375-П «О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путём, и финансированию терроризма» и пункту 3.4 Положения Банка России от 15.12.2014 № 445-П «О требованиях к правилам внутреннего контроля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некредитных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финансовых организаций в целях противодействия легализации (отмыванию) доходов, полученных преступным путём, и финансированию терроризма»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признание</w:t>
      </w:r>
      <w:proofErr w:type="gramEnd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 физического лица </w:t>
      </w:r>
      <w:proofErr w:type="spellStart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бенефициарным</w:t>
      </w:r>
      <w:proofErr w:type="spellEnd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 владельцем должно являться результатом анализа совокупности имеющихся у организации документов и (или) информации о клиенте и о таком физическом лице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Юридическое лицо может не располагать сведениями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бенефициарном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 или не выявить его в том случае, когда такой владелец существует, но найти его затруднительно.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 некоммерческим организаций положения ФЗ о противодействии легализации в этой части не могут быть применимы.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Исторический экскурс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в ФЗ о противодействии легализации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норма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владельцах и обязанности их идентификации была закреплена </w:t>
      </w:r>
      <w:hyperlink r:id="rId9" w:tgtFrame="_blank" w:history="1">
        <w:r w:rsidRPr="00D648DA">
          <w:rPr>
            <w:rFonts w:ascii="Georgia" w:eastAsia="Times New Roman" w:hAnsi="Georgia" w:cs="Times New Roman"/>
            <w:color w:val="3494D4"/>
            <w:sz w:val="21"/>
            <w:u w:val="single"/>
            <w:lang w:eastAsia="ru-RU"/>
          </w:rPr>
          <w:t>Федеральным законом</w:t>
        </w:r>
      </w:hyperlink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от 30.12.2015 № 424-ФЗ «О внесении изменений в Федеральный закон «О противодействии легализации (отмыванию) доходов, полученных преступным путём, и финансированию терроризма».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Авторы законопроекта </w:t>
      </w:r>
      <w:hyperlink r:id="rId10" w:history="1">
        <w:r w:rsidRPr="00D648DA">
          <w:rPr>
            <w:rFonts w:ascii="Georgia" w:eastAsia="Times New Roman" w:hAnsi="Georgia" w:cs="Times New Roman"/>
            <w:color w:val="3494D4"/>
            <w:sz w:val="21"/>
            <w:u w:val="single"/>
            <w:lang w:eastAsia="ru-RU"/>
          </w:rPr>
          <w:t>в пояснительной записке</w:t>
        </w:r>
      </w:hyperlink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указали, что </w:t>
      </w: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обязанность по выявлению бенефициаров предусмотрена, в том числе положениями рекомендации 24 ФАТФ, в соответствии с которой государства должны обеспечить наличие достаточной, точной и своевременной информации о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бенефициарной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собственности и контроле юридических лиц, которую или доступ к которой могут оперативно получить компетентные органы.</w:t>
      </w:r>
      <w:proofErr w:type="gramEnd"/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Кроме того, в соответствии с пунктом 31 Коммюнике лидеров Группы 8, принятом в июне 2013 г. в г. Лох-Эри, каждая из стран участников обязалась предпринять усилия по установлению требований к компаниям о получении и хранении ими информации о своих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владельцах, а также представлении данной информации сотрудникам компетентных органов.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Также это подтверждается пунктом 77 декларации Группы 20, принятой в сентябре 2013 г. в Санкт-Петербурге, в котором отмечается, что применение мер по обеспечению выполнения рекомендаций Международных стандартов по противодействию отмыванию денег, финансированию терроризма и финансированию распространения оружия массового уничтожения (ФАТФ) в отношении выявления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владельцев юридических лиц позволит снизить риски использования юридических лиц в противоправных целях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Вместе с тем, в рекомендации ФАТФ 24 отмечено следующее: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«24. Прозрачность и </w:t>
      </w:r>
      <w:proofErr w:type="spellStart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бенефициарные</w:t>
      </w:r>
      <w:proofErr w:type="spellEnd"/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 владельцы юридических лиц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Страны должны принять меры для предотвращения использования юридических лиц для отмывания денег или финансирования терроризма. Страны должны обеспечить наличие достаточной, точной и своевременной информации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бенефициарной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собственности и контроле юридических лиц, которую или доступ к которой могут оперативно получить компетентные органы. В частности, страны, в которых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юридические лица могут выпускать акции на предъявителя или варранты на предъявителя, либо в которых могут существовать номинальные акционеры или номинальные директора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должны принимать эффективные меры для обеспечения того, чтобы они не использовались для отмывания денег или финансирования терроризма. Странам следует рассмотреть вопрос о принятии мер по облегчению доступа к информации 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бенефициарной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собственности и контроле для финансовых учреждений и УНФПП, на которых распространяются требования, установленные в </w:t>
      </w:r>
      <w:hyperlink r:id="rId11" w:history="1">
        <w:r w:rsidRPr="00D648DA">
          <w:rPr>
            <w:rFonts w:ascii="Georgia" w:eastAsia="Times New Roman" w:hAnsi="Georgia" w:cs="Times New Roman"/>
            <w:color w:val="3494D4"/>
            <w:sz w:val="21"/>
            <w:u w:val="single"/>
            <w:lang w:eastAsia="ru-RU"/>
          </w:rPr>
          <w:t>Рекомендациях </w:t>
        </w:r>
      </w:hyperlink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10 и 22».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Казалось бы, вот он ответ –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можно выявить у «юридических лиц, которые могут выпускать акции на предъявителя или варранты на предъявителя, либо в которых могут существовать номинальные акционеры или номинальные директора», а также 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у иных коммерческих организаций, уставный капитал которых поделён на доли или права на управление предоставлены акциями.</w:t>
      </w:r>
      <w:proofErr w:type="gramEnd"/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Дополнительно в терминах и определениях ФАТФ указывают, что значение термина «бенефициар» в Рекомендациях ФАТФ зависит от контекста: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- в трастовом законодательстве бенефициар — это лицо или лица, которые обладают правом на выгоду от любой трастовой договорённости. Бенефициар может быть физическим или юридическим лицом или образованием. Все трасты (</w:t>
      </w:r>
      <w:r w:rsidRPr="00D648DA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кроме благотворительных или предусмотренных законодательством </w:t>
      </w:r>
      <w:proofErr w:type="spellStart"/>
      <w:r w:rsidRPr="00D648DA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неблаготворительных</w:t>
      </w:r>
      <w:proofErr w:type="spellEnd"/>
      <w:r w:rsidRPr="00D648DA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 трастов</w:t>
      </w: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) обязаны иметь установленных бенефициаров. Хотя трасты обязаны всегда иметь некоего конечного установленного бенефициара, трасты могут не иметь определённых существующих бенефициаров, а только объекты полномочий, до тех пор пока некоторое лицо не получает право </w:t>
      </w:r>
      <w:proofErr w:type="spell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бенефицара</w:t>
      </w:r>
      <w:proofErr w:type="spell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на доход или капитал по истечении определённого периода, известного как аккумуляционный период. Этот период обычно соразмерен со статусным периодом траста, который обычно называется в трастовом документе как трастовый период.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- </w:t>
      </w:r>
      <w:proofErr w:type="gramStart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в</w:t>
      </w:r>
      <w:proofErr w:type="gramEnd"/>
      <w:r w:rsidRPr="00D648DA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контексте страхования жизни или другого страхового полиса, связанного с инвестированием, бенефициаром является физическое или юридическое лицо, или юридическое образование, или категория лиц, которым будет выплачен доход от полиса, когда наступает страховой случай, который охвачен полисом.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Таким образом, ФАТФ определяет прямо, что у благотворительных организаций не может быть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бенефициарного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владельца, что логично. О каком участии в капитале некоммерческой организации может идти речь, если имущество, переданное некоммерческой организации для осуществления ею уставной деятельности, не образует уставного (акционерного) капитала и направлено на достижение такой организацией общественно-полезных целей.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Такой же логике следовал законодатель.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соответствии с гражданским законодательством некоммерческая организация - это юридическое лицо, которое создано не для предпринимательской деятельности: не имеющее извлечение прибыли в качестве такой цели и не распределяющее полученную прибыль между участниками (</w:t>
      </w:r>
      <w:hyperlink r:id="rId12" w:anchor="block_5010" w:tgtFrame="_blank" w:history="1">
        <w:r w:rsidRPr="00D648DA">
          <w:rPr>
            <w:rFonts w:ascii="Georgia" w:eastAsia="Times New Roman" w:hAnsi="Georgia" w:cs="Times New Roman"/>
            <w:color w:val="3494D4"/>
            <w:sz w:val="21"/>
            <w:u w:val="single"/>
            <w:lang w:eastAsia="ru-RU"/>
          </w:rPr>
          <w:t>п. 1 ст. 50</w:t>
        </w:r>
      </w:hyperlink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ГК РФ; п. 1 ст. 2 </w:t>
      </w:r>
      <w:hyperlink r:id="rId13" w:tgtFrame="_blank" w:history="1">
        <w:r w:rsidRPr="00D648DA">
          <w:rPr>
            <w:rFonts w:ascii="Georgia" w:eastAsia="Times New Roman" w:hAnsi="Georgia" w:cs="Times New Roman"/>
            <w:color w:val="3494D4"/>
            <w:sz w:val="21"/>
            <w:u w:val="single"/>
            <w:lang w:eastAsia="ru-RU"/>
          </w:rPr>
          <w:t>Федерального закона</w:t>
        </w:r>
      </w:hyperlink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от 12.01.1996 № 7-ФЗ «О некоммерческих организациях» (далее - ФЗ об НКО)).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Организация вправе совершать действия, которые приносят доход, но только для поддержания работоспособности и достижения своей цели.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соответствии со ст. 7 ФЗ об НКО фондом признается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не имеющая членства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некоммерческая организация, учреждённая гражданами и (или) юридическими лицами на основе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добровольных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имущественных взносов и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преследующая социальные, благотворительные, культурные, образовательные или иные общественно полезные цели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Имущество, переданное фонду его учредителями (учредителем), является собственностью фонда. Учредители не отвечают по обязательствам созданного ими фонда, а фонд не отвечает по обязательствам своих учредителей.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Полученная некоммерческой организацией прибыль </w:t>
      </w: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не подлежит распределению между участниками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(членами) некоммерческой организации (п. 3 ст. 26 ФЗ об НКО).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Таким образом, фонд создан без взносов в уставный капитал, соответственно без долей в деятельности организации, где вся полученная прибыль от сделок, если такие есть, не перераспределяется, а тратится на нужды фонда и его уставную деятельность.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мой взгляд, самым простым выходом было бы внесение в ФЗ о противодействии легализации в подпункт 2) пункта 1 статьи 7 дополнительного абзаца: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«Организации, осуществляющие операции с денежными средствами или иным имуществом, обязаны принимать обоснованные и доступные в сложившихся обстоятельствах меры по идентификации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клиентов, в том числе по установлению в </w:t>
      </w: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 xml:space="preserve">отношении их сведений, предусмотренных подпунктом 1 настоящего пункта. Идентификация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клиентов не проводится (за исключением случаев направления уполномоченным органом запроса в соответствии с подпунктом 5 настоящего пункта) в случае принятия на обслуживание клиентов, являющихся: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…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некоммерческими организациями, преследующими социальные, благотворительные, культурные, образовательные или иные общественно полезные цели».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 другой стороны, действующую норму нужно толковать таким образом, что банки должны проводить идентификацию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только в тех случаях, когда наличие такого владельца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презюмируется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В случае с некоммерческими организациями, в частности с фондами, автономными некоммерческими организациями и прочими НКО,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бенефициарный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владелец отсутствует как таковой.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Для правильного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правоприменения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выяснена воля законодателя, благодаря чему можно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избежать создание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новых ненужных норм.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Но по опыту общения с банками можно с уверенностью утверждать, что пока не будет чёткой нормы в законе или ещё лучше в инструкции Банка России, толковать норму об идентификации </w:t>
      </w:r>
      <w:proofErr w:type="spell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бенефициарных</w:t>
      </w:r>
      <w:proofErr w:type="spell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владельцев будут не в пользу клиентов.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Может </w:t>
      </w:r>
      <w:proofErr w:type="gramStart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быть</w:t>
      </w:r>
      <w:proofErr w:type="gramEnd"/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есть коллеги, которые сталкивались с ситуацией, когда у НКО выявляли бенефициаров? Интересно узнать о таких случаях.</w:t>
      </w:r>
    </w:p>
    <w:p w:rsidR="00D648DA" w:rsidRPr="00D648DA" w:rsidRDefault="00D648DA" w:rsidP="00D648DA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648DA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201073" w:rsidRDefault="00D648DA">
      <w:r w:rsidRPr="00D648DA">
        <w:t>https://zakon.ru/blog/2020/9/24/o_beneficiarnyh_vladelcah_nekommercheskih_organizacij</w:t>
      </w:r>
    </w:p>
    <w:sectPr w:rsidR="00201073" w:rsidSect="002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72ABF"/>
    <w:multiLevelType w:val="multilevel"/>
    <w:tmpl w:val="8AC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DA"/>
    <w:rsid w:val="00201073"/>
    <w:rsid w:val="00D6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73"/>
  </w:style>
  <w:style w:type="paragraph" w:styleId="1">
    <w:name w:val="heading 1"/>
    <w:basedOn w:val="a"/>
    <w:link w:val="10"/>
    <w:uiPriority w:val="9"/>
    <w:qFormat/>
    <w:rsid w:val="00D64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48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48DA"/>
    <w:rPr>
      <w:b/>
      <w:bCs/>
    </w:rPr>
  </w:style>
  <w:style w:type="character" w:styleId="a6">
    <w:name w:val="Emphasis"/>
    <w:basedOn w:val="a0"/>
    <w:uiPriority w:val="20"/>
    <w:qFormat/>
    <w:rsid w:val="00D648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  <w:divsChild>
            <w:div w:id="1747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28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2ba6f92272350adcf18765f3816499b3/" TargetMode="External"/><Relationship Id="rId13" Type="http://schemas.openxmlformats.org/officeDocument/2006/relationships/hyperlink" Target="http://base.garant.ru/101058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3862/39e77d60b56d45769120d13016c8a3b2/" TargetMode="External"/><Relationship Id="rId12" Type="http://schemas.openxmlformats.org/officeDocument/2006/relationships/hyperlink" Target="http://base.garant.ru/10164072/510567bc799b499f450a4638e59966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u/blog/2020/9/24/o_beneficiarnyh_vladelcah_nekommercheskih_organizacij" TargetMode="External"/><Relationship Id="rId11" Type="http://schemas.openxmlformats.org/officeDocument/2006/relationships/hyperlink" Target="http://www.fedsfm.ru/content/files/documents/fatf/%D1%80%D0%B5%D0%BA%D0%BE%D0%BC%D0%B5%D0%BD%D0%B4%D0%B0%D1%86%D0%B8%D0%B8%20%D1%84%D0%B0%D1%82%D1%84.pdf" TargetMode="External"/><Relationship Id="rId5" Type="http://schemas.openxmlformats.org/officeDocument/2006/relationships/hyperlink" Target="https://zakon.ru/grazhdanskoe_pra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zd.duma.gov.ru/bill/965365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29595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2499</Words>
  <Characters>14245</Characters>
  <Application>Microsoft Office Word</Application>
  <DocSecurity>0</DocSecurity>
  <Lines>118</Lines>
  <Paragraphs>33</Paragraphs>
  <ScaleCrop>false</ScaleCrop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2021-03-06T09:47:00Z</dcterms:created>
  <dcterms:modified xsi:type="dcterms:W3CDTF">2021-03-06T09:48:00Z</dcterms:modified>
</cp:coreProperties>
</file>