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5lb3i584c1c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Вопросы к вебинару 14 июня 2022 г. (вторник)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c3kln4336l55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Анна Валерьевна Г.</w:t>
      </w:r>
    </w:p>
    <w:p w:rsidR="00000000" w:rsidDel="00000000" w:rsidP="00000000" w:rsidRDefault="00000000" w:rsidRPr="00000000" w14:paraId="00000003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Общество выплатило единовременную выплату (материальную помощь) в сумме 20 000 руб. в соответствии с положениями Коллективного договора профсоюзному работнику, являющемуся штатным освобожденным работником Профсоюзной организации (отдельное юридическое лицо). Трудовой договор между профсоюзным работником и Обществом не заключался.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Штатным работникам Профсоюзной организации выплачиваются премии, материальная помощь, вознаграждения, предусмотренные Коллективным договором и локальными нормативными актами Общества. Материальная помощь оказана в связи со смертью члена его семьи. 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Нужно ли вышеуказанную материальную помощь облагать НДФЛ? Допустимо ли применить в рамках этой выплаты по Коллективному договору трактовку п. 8 ст. 217 НК РФ - как выплату материальной помощи работодателем работнику, чтобы не облагать НДФЛ? </w:t>
      </w:r>
    </w:p>
    <w:p w:rsidR="00000000" w:rsidDel="00000000" w:rsidP="00000000" w:rsidRDefault="00000000" w:rsidRPr="00000000" w14:paraId="00000007">
      <w:pPr>
        <w:pStyle w:val="Heading1"/>
        <w:ind w:left="7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uu9q3lsh0za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2. Елена Юрьевна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 01 счёте стоят квартиры, которые фонд получил по завещанию, по ренте, которые были поставлены на учёт по стоимости БТИ. В будущем эти квартиры будут реализованы и все средства пойдут на уставную деятельность фонда. А пока они не проданы, их используют для безвозмездного проживания иногородних патронажных работников Фонда. Должны ли амортизироваться эти квартиры?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Rule="auto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 время прохождения внешнего аудита аудитор разъяснила, что в связи с новым ФСБУ остаточная стоимость амортизируемого офисного помещения, в котором расположен Фонд и остаточная стоимость подъемника для инвалидов должны быть перенесены на 83 счет и амортизационная стоимость будущих периодов списываться должна с 83 счета. А также остаточная стоимость по этим основным средствам была списана на счет 91.2 отчетного периода на расходы. Правомерны ли данные проводки?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Помещение Фонда находится на земельном участке, с департаментом имущество заключен долгосрочный договор аренды земельного участка. Ежеквартально Фонд оплачивает аренду земли. Внешний аудитор рекомендует создать стоимость арендуемого участка земли и амортизировать его. Права ли она в своей рекомендации? Если да, то как формируется данная стоимость?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Также Фонд исправно платит налог на имущество за квартиры Фонда по кадастровой стоимости. Поэтому каждый год мы отчитываемся в несколько налоговых инспекций по территориальным принадлежностям, но одна из налоговых возвращает декларацию с расчётом по кадастровой стоимости, ссылаясь на то, что в перечне объектов недвижимости не включён адрес объекта Фонда. Многие из квартир Фонда не входят в этот перечень. Мы обращались в несколько налоговых инспекций и задавали вопрос, должны ли мы платить по кадастровой стоимости налог на имущество или по балансовой, если объектов недвижимости нет в утверждённом перечне. Но ответа не получили.  </w:t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i7fydajhamb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3. Ася Г.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6"/>
          <w:szCs w:val="36"/>
          <w:highlight w:val="white"/>
          <w:rtl w:val="0"/>
        </w:rPr>
        <w:t xml:space="preserve">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</w:t>
        <w:tab/>
        <w:t xml:space="preserve">АНО на постоянной основе получает от своих учредителей денежные средства на осуществление уставной деятельности. Какая формулировка для такого вида финансирования будет наиболее корректной с точки зрения НК РФ. Возможно ли использовать формулировку «взносы на осуществление уставной деятельности»?</w:t>
      </w:r>
    </w:p>
    <w:p w:rsidR="00000000" w:rsidDel="00000000" w:rsidP="00000000" w:rsidRDefault="00000000" w:rsidRPr="00000000" w14:paraId="00000010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ou8fvbehqdm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</w:t>
        <w:tab/>
        <w:t xml:space="preserve">НКО, имеющая лицензию на обучение по программам дополнительного профессионального образования проводит обучение своих сотрудников на безвозмездной основе как по программам непосредственно связанным с выполнением должностных обязанностей сотрудников, так и по программам, которые не имеют прямого отношения к профессиональной деятельности работников (полученные навыки могут использоваться при выполнении трудовых функций, но не являются обязательными и необходимыми). Одновременно с сотрудниками организации обучение могут проходить физические лица, обучающиеся по договору об оказании образовательных услуг либо на платной, либо на безвозмездной основе.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 окончании обучения выдаётся удостоверение о повышении квалификации. Организация несёт расходы на обучение в виде стоимости аренды помещения, оплаты лекторам, расходов на печать методических материалов и т.д.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Возникают ли НДФЛ и объект налогообложения страховыми взносами у сотрудников организации, которых мы же сами и обучаем?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Возникает ли НДФЛ у сторонних физических лиц, обучающихся на безвозмездной основе?</w:t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n3jetwr6hca6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4. Татьяна Сергеевна Ц.</w:t>
      </w:r>
    </w:p>
    <w:p w:rsidR="00000000" w:rsidDel="00000000" w:rsidP="00000000" w:rsidRDefault="00000000" w:rsidRPr="00000000" w14:paraId="0000001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Благотворительный фонд</w:t>
      </w:r>
    </w:p>
    <w:p w:rsidR="00000000" w:rsidDel="00000000" w:rsidP="00000000" w:rsidRDefault="00000000" w:rsidRPr="00000000" w14:paraId="00000018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1) сотрудника направляем на повышение квалификации по занимаемой им должности в соответствии с приказом за счет средств фонда, обязательно ли заключение с ним ученического договора для обоснования экономической целесообразности расходов, так как в должностной инструкции (трудовом договоре) не предусмотрена обязательность повышения квалификации.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Стипендия в ученическом договоре это обязательное условие или можно ее не выплачивать?</w:t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2) Правильно ли отражать в составе дебиторской задолженности на счете 76 перечисление денежных средств ООО (инвестиционная платформа) на номинальном счете (счет открытый в кредитном учреждении Оператору Платформы (владелец счета) в соответствии с п.9 статьи 13 Федерального закона № 259-ФЗ для учета и совершения операций с денежными средствами, права на которые принадлежат Инвесторам (бенефициарам)). Денежные средства перечислены для дальнейшего инвестирования (выдача займа) и отражаются затем как финансовые вложения.</w:t>
      </w:r>
    </w:p>
    <w:p w:rsidR="00000000" w:rsidDel="00000000" w:rsidP="00000000" w:rsidRDefault="00000000" w:rsidRPr="00000000" w14:paraId="0000001B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3) Фонд перечислил денежные средства по договору о благотворит. помощи благополучателю (проводки Д76 К51, Д86 К76). Благополучатель не предоставил документы, подтверждающие целевое расходование данных средств в установленные договором сроки. Как на данный момент отразить данную операцию в бухгалтерском учете и каковы налоговые последствия для Фонда? Фонд будет требовать возврата данных средств в соответствии с законодательством.</w:t>
      </w:r>
    </w:p>
    <w:p w:rsidR="00000000" w:rsidDel="00000000" w:rsidP="00000000" w:rsidRDefault="00000000" w:rsidRPr="00000000" w14:paraId="0000001C">
      <w:pPr>
        <w:pStyle w:val="Heading1"/>
        <w:ind w:left="7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2q20koo2ahdg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5. Маргарита Николаевна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1.Свидетельство на товарный знак (ТЗ) получено, согласно Акта об оказании услуг от 18 мая 2022.</w:t>
      </w:r>
    </w:p>
    <w:p w:rsidR="00000000" w:rsidDel="00000000" w:rsidP="00000000" w:rsidRDefault="00000000" w:rsidRPr="00000000" w14:paraId="0000001F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Приоритет Товарного знака - 17/09/2021, срок действия - 17/09/2031 - 10лет, Зарегистрировано в Госреестре - 22/12/2021.</w:t>
      </w:r>
    </w:p>
    <w:p w:rsidR="00000000" w:rsidDel="00000000" w:rsidP="00000000" w:rsidRDefault="00000000" w:rsidRPr="00000000" w14:paraId="00000020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правильно отразить в бухгалтерском учете указанные даты по ТЗ и износ?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2. Какой код правильно указывать по выплатам с 1 мая 2022 в платежных поручениях по налогам в Бюджет, по Договорам ГПХ, НПД и тп на ФЛ?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файлы прилагаются.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f1q05pikzpk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Сергей Викторович Т.</w:t>
      </w:r>
    </w:p>
    <w:p w:rsidR="00000000" w:rsidDel="00000000" w:rsidP="00000000" w:rsidRDefault="00000000" w:rsidRPr="00000000" w14:paraId="00000025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bookmarkStart w:colFirst="0" w:colLast="0" w:name="_pz255eitkyz6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20" w:before="220" w:lineRule="auto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ожно ли НКО (Казачье общество) открыть ООО и быть учредителем в единственном лице для получения прибыли?</w:t>
      </w:r>
    </w:p>
    <w:p w:rsidR="00000000" w:rsidDel="00000000" w:rsidP="00000000" w:rsidRDefault="00000000" w:rsidRPr="00000000" w14:paraId="00000027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И еще вопрос: мы станичное казачье общество ежемесячно жертвуем одну и ту же сумму на уставную деятельность районному казачьему обществу без договора, нам выдают квитанцию к приходному кассовому ордеру о принятии этих средств и всё. Можем ли мы отражать в расходах данную сумму на счетах бухучёта. Какие документы нужно еще составить для того, чтобы оправдать эти расходы и принять к учёту? Наша система налогообложения УСН-доходы.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6t5lgn2fdi8l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7.Тамара Анатольевна Ф.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Наша организация  применяет упрощённые способы бухгалтерского учета и принимает решение начать применять ФСБУ 6/2020 перспективно (по пункту 51 ФСБУ 6/2020). Какие бухгалтерские проводки в этом случае должны быть при начислении амортизации в 2022 году. Консультант предлагает относить на сч.86, но в этом случае на 86 сч. будет всегда остаток.</w:t>
      </w:r>
    </w:p>
    <w:p w:rsidR="00000000" w:rsidDel="00000000" w:rsidP="00000000" w:rsidRDefault="00000000" w:rsidRPr="00000000" w14:paraId="0000002C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zfu7oz116soi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8. Ольга К.</w:t>
      </w:r>
    </w:p>
    <w:p w:rsidR="00000000" w:rsidDel="00000000" w:rsidP="00000000" w:rsidRDefault="00000000" w:rsidRPr="00000000" w14:paraId="0000002E">
      <w:pPr>
        <w:pStyle w:val="Heading1"/>
        <w:ind w:firstLine="720"/>
        <w:jc w:val="both"/>
        <w:rPr/>
      </w:pPr>
      <w:bookmarkStart w:colFirst="0" w:colLast="0" w:name="_1wxn1f41u13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Подскажите, как сдавать правильно отчетность, если организация заключает договор оказания возмездных услуг, по договору оказывается услуга на протяжении 6 месяцев, но по договору предполагается разовая выплата по окончанию оказания услуг что прописывается в договоре. Исходя из этого как надо отчитываться за такого внештатного сотрудника перед госорганами, а именно по налогам и ПФР?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