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dwl8l2w8txs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17 мая 2022 г. (вторник)</w:t>
      </w:r>
    </w:p>
    <w:p w:rsidR="00000000" w:rsidDel="00000000" w:rsidP="00000000" w:rsidRDefault="00000000" w:rsidRPr="00000000" w14:paraId="00000002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tdeei7fqed8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Марина Валерьевна М.</w:t>
      </w:r>
    </w:p>
    <w:p w:rsidR="00000000" w:rsidDel="00000000" w:rsidP="00000000" w:rsidRDefault="00000000" w:rsidRPr="00000000" w14:paraId="0000000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Если в 2021 г. раздельный учет доходов и расходов по коммерческой и некоммерческой деятельности не велся, то как исправить эту ситуацию за 2021 год?  Можно ли  написать какую-то пояснительную записку, или необходимо делать в 2022 г корректирующие проводки по итогам 2021 года ? Что при этом делать с неправильной Учетной политикой , принятой в 2021 г. ?</w:t>
      </w:r>
    </w:p>
    <w:p w:rsidR="00000000" w:rsidDel="00000000" w:rsidP="00000000" w:rsidRDefault="00000000" w:rsidRPr="00000000" w14:paraId="0000000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Несмотря на то, что в Учетной политике прописан бухгалтерский учет членских взносов методом начисления,  в 2021 г. он велся кассовым методом. Это повлияло на отчетность : размер целевого финансирования за 2021 г. указан фактически поступивший, в то время как при использовании метода начисления размер целевого финансирования – это размер, установленный общим собранием, т.е. с учетом задолженностей.</w:t>
      </w:r>
    </w:p>
    <w:p w:rsidR="00000000" w:rsidDel="00000000" w:rsidP="00000000" w:rsidRDefault="00000000" w:rsidRPr="00000000" w14:paraId="0000000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Что необходимо сделать по 2021 г., и насколько обязательно ?</w:t>
      </w:r>
    </w:p>
    <w:p w:rsidR="00000000" w:rsidDel="00000000" w:rsidP="00000000" w:rsidRDefault="00000000" w:rsidRPr="00000000" w14:paraId="00000007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kpdtyab1rur3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Дмитрий Викторович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jc w:val="both"/>
        <w:rPr>
          <w:color w:val="212529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(?)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вопрос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касательно представления НКО статф</w:t>
      </w:r>
      <w:r w:rsidDel="00000000" w:rsidR="00000000" w:rsidRPr="00000000">
        <w:rPr>
          <w:color w:val="1f497d"/>
          <w:rtl w:val="0"/>
        </w:rPr>
        <w:t xml:space="preserve">ормы</w:t>
      </w:r>
      <w:r w:rsidDel="00000000" w:rsidR="00000000" w:rsidRPr="00000000">
        <w:rPr>
          <w:color w:val="212529"/>
          <w:sz w:val="23"/>
          <w:szCs w:val="23"/>
          <w:rtl w:val="0"/>
        </w:rPr>
        <w:t xml:space="preserve"> 1 (рабочая сила) «Сведения о составе затрат организации на рабочую силу», единовременная, по сроку 21 мая т.г. за 2021 год</w:t>
      </w:r>
    </w:p>
    <w:p w:rsidR="00000000" w:rsidDel="00000000" w:rsidP="00000000" w:rsidRDefault="00000000" w:rsidRPr="00000000" w14:paraId="0000000A">
      <w:pPr>
        <w:shd w:fill="ffffff" w:val="clear"/>
        <w:ind w:firstLine="70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Согласно пункту 1 Указания по заполнению формы федерального статистического наблюдения (далее  Указание) № 1 (рабочая сила) "Сведения о составе затрат организации на рабочую силу" к Приложению № 6 к приказу Росстата от 30.07.2021 № 457 первичные статистические данные по форме федерального статистического наблюдения № 1 (рабочая сила) "Сведения о составе затрат организации на рабочую силу" предоставляют юридические лица (кроме микропредприятий), основной вид деятельности которых относится к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отходов; деятельности по ликвидации загрязнений; строительству; торговле оптовой и розничной; ремонту автотранспортных средств и мотоциклов; транспортировке и хранению; деятельности гостиниц и предприятий общественного питания; деятельности в области информации и связи; деятельности финансовой и страховой; деятельности по операциям с недвижимым имуществом; деятельности профессиональной, научной и технической; деятельности административной и сопутствующим дополнительным услугам.</w:t>
      </w:r>
    </w:p>
    <w:p w:rsidR="00000000" w:rsidDel="00000000" w:rsidP="00000000" w:rsidRDefault="00000000" w:rsidRPr="00000000" w14:paraId="0000000B">
      <w:pPr>
        <w:shd w:fill="ffffff" w:val="clear"/>
        <w:ind w:firstLine="70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При этом согласно "Общероссийскому классификатору видов экономической деятельности" (ОК 029-2014 (КДЕС ред. 2), утвержденному Приказом Росстандарта от 31.01.2014 № 14-ст) группировка ОКВЭД 69.10 "Деятельность в области права" не включает направления деятельности, поименованные в вышеназванном пункте 1 Указания к Приложению № 6 к приказу Росстата от 30.07.2021 № 457.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От ТОГС поступают разъяснения и предупреждения следующего характера: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Сведения о составе затрат организации на рабочую силу по утвержденной форме федерального статистического наблюдения предоставляются территориальному органу Росстата в субъекте Российской Федерации юридическими лицами, основной вид деятельности которых относится, в том числе к деятельности профессиональной, научной и технической.  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Общероссийский классификатор видов экономической деятельности содержит коды классифицируемых группировок видов экономической деятельности, наименования и описания которых, раскрывают общее содержание каждой группировки. Так раздел М «</w:t>
      </w:r>
      <w:r w:rsidDel="00000000" w:rsidR="00000000" w:rsidRPr="00000000">
        <w:rPr>
          <w:color w:val="222222"/>
          <w:highlight w:val="yellow"/>
          <w:rtl w:val="0"/>
        </w:rPr>
        <w:t xml:space="preserve">Деятельность профессиональная, научная и техническая</w:t>
      </w:r>
      <w:r w:rsidDel="00000000" w:rsidR="00000000" w:rsidRPr="00000000">
        <w:rPr>
          <w:color w:val="222222"/>
          <w:rtl w:val="0"/>
        </w:rPr>
        <w:t xml:space="preserve">» - общее название группировки Классификатора, внутри которой идет узкое разделение по видам деятельности, отнесенным к данной группировке (Например, 69. Деятельность в области права и бухгалтерского учета, 72. Научные исследования и разработки).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Раздел М включает в себя деятельность в области права (ОКВЭД 69.10). Таким образом деятельность в области права относится к деятельности профессиональной, научной и технической, как частное к общему, то есть конкретный ОКВЭД 69.10 поглащен разделом М.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На основании изложенного, деятельность организации в области права включена в деятельность, сведения о составе затрат на рабочую силу которой должны предоставляться в органы Росстата не позднее 20 мая 2022. Следует отметить, что периодичность представления таких сведений 1 раз в 4-5 лет. При этом, каталоги организаций, включенных в субъектный перечень по отчетности, формируются и утверждаются до 15 апреля, с учетом необходимого для объективного анализа процента выборки в разрезе каждой территории.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Согласно статье 13.19 КоАП РФ непредоставление статистических данных, а также нарушение сроков предоставления влечет наложение административного штрафа на должностных и юридических лиц!!!</w:t>
      </w:r>
    </w:p>
    <w:p w:rsidR="00000000" w:rsidDel="00000000" w:rsidP="00000000" w:rsidRDefault="00000000" w:rsidRPr="00000000" w14:paraId="00000012">
      <w:pPr>
        <w:shd w:fill="ffffff" w:val="clear"/>
        <w:ind w:firstLine="70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Учитывая изложенное, а также, что некоммерческие организации не обладают запасом трудовых ресурсов для подготовки неавтоматизированных в ПО 1С форм федерального статистического наблюдения, возникает вопрос являться ли АНО (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 основным ВД согласно ОКВЭД «Деятельность в области права» с кодом 69, не относящимся к </w:t>
      </w:r>
      <w:r w:rsidDel="00000000" w:rsidR="00000000" w:rsidRPr="00000000">
        <w:rPr>
          <w:color w:val="222222"/>
          <w:highlight w:val="yellow"/>
          <w:rtl w:val="0"/>
        </w:rPr>
        <w:t xml:space="preserve">ОКВЭД «Деятельность профессиональная научная и техническая прочая</w:t>
      </w:r>
      <w:r w:rsidDel="00000000" w:rsidR="00000000" w:rsidRPr="00000000">
        <w:rPr>
          <w:color w:val="222222"/>
          <w:rtl w:val="0"/>
        </w:rPr>
        <w:t xml:space="preserve">» с кодом 74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) </w:t>
      </w:r>
      <w:r w:rsidDel="00000000" w:rsidR="00000000" w:rsidRPr="00000000">
        <w:rPr>
          <w:color w:val="222222"/>
          <w:rtl w:val="0"/>
        </w:rPr>
        <w:t xml:space="preserve">субъектом по представлению указанной единовременной формы федерального статистического наблюдения № 1 (рабочая сила) за 2021 год в подразделения ТОГС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49.005131614485"/>
        <w:gridCol w:w="1676.5066794091374"/>
        <w:tblGridChange w:id="0">
          <w:tblGrid>
            <w:gridCol w:w="7349.005131614485"/>
            <w:gridCol w:w="1676.5066794091374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ind w:left="20" w:firstLine="0"/>
              <w:jc w:val="center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Наименование вида экономической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ind w:left="20" w:firstLine="0"/>
              <w:jc w:val="center"/>
              <w:rPr>
                <w:rFonts w:ascii="Roboto" w:cs="Roboto" w:eastAsia="Roboto" w:hAnsi="Roboto"/>
                <w:color w:val="1155cc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Код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u w:val="single"/>
                  <w:rtl w:val="0"/>
                </w:rPr>
                <w:t xml:space="preserve">ОКВЭД 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ind w:left="20" w:firstLine="0"/>
              <w:jc w:val="both"/>
              <w:rPr>
                <w:rFonts w:ascii="Roboto" w:cs="Roboto" w:eastAsia="Roboto" w:hAnsi="Roboto"/>
                <w:color w:val="222222"/>
                <w:highlight w:val="green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green"/>
                <w:rtl w:val="0"/>
              </w:rPr>
              <w:t xml:space="preserve">Деятельность в области права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highlight w:val="green"/>
                <w:rtl w:val="0"/>
              </w:rPr>
              <w:t xml:space="preserve"> и бухгалтерского учета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ind w:left="20" w:firstLine="0"/>
              <w:jc w:val="center"/>
              <w:rPr>
                <w:rFonts w:ascii="Roboto" w:cs="Roboto" w:eastAsia="Roboto" w:hAnsi="Roboto"/>
                <w:b w:val="1"/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69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ind w:left="20" w:firstLine="0"/>
              <w:jc w:val="both"/>
              <w:rPr>
                <w:rFonts w:ascii="Roboto" w:cs="Roboto" w:eastAsia="Roboto" w:hAnsi="Roboto"/>
                <w:color w:val="222222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highlight w:val="yellow"/>
                <w:rtl w:val="0"/>
              </w:rPr>
              <w:t xml:space="preserve">Деятельность профессиональная научная и техническая прочая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ind w:left="20" w:firstLine="0"/>
              <w:jc w:val="center"/>
              <w:rPr>
                <w:rFonts w:ascii="Roboto" w:cs="Roboto" w:eastAsia="Roboto" w:hAnsi="Roboto"/>
                <w:b w:val="1"/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u w:val="single"/>
                  <w:rtl w:val="0"/>
                </w:rPr>
                <w:t xml:space="preserve">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after="200" w:before="20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color w:val="222222"/>
          <w:rtl w:val="0"/>
        </w:rPr>
        <w:t xml:space="preserve">(2) вопрос по бухгалтерскому учету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АНО с основным ВД согласно ОКВЭД «Деятельность в области права» </w:t>
      </w:r>
      <w:r w:rsidDel="00000000" w:rsidR="00000000" w:rsidRPr="00000000">
        <w:rPr>
          <w:color w:val="222222"/>
          <w:rtl w:val="0"/>
        </w:rPr>
        <w:t xml:space="preserve">отсрочки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по уплате страховых взносов </w:t>
      </w:r>
      <w:r w:rsidDel="00000000" w:rsidR="00000000" w:rsidRPr="00000000">
        <w:rPr>
          <w:color w:val="222222"/>
          <w:rtl w:val="0"/>
        </w:rPr>
        <w:t xml:space="preserve">согласно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утвержденному постановлением Правительства РФ </w:t>
      </w:r>
      <w:hyperlink r:id="rId9">
        <w:r w:rsidDel="00000000" w:rsidR="00000000" w:rsidRPr="00000000">
          <w:rPr>
            <w:rFonts w:ascii="Verdana" w:cs="Verdana" w:eastAsia="Verdana" w:hAnsi="Verdana"/>
            <w:color w:val="49689a"/>
            <w:sz w:val="21"/>
            <w:szCs w:val="21"/>
            <w:rtl w:val="0"/>
          </w:rPr>
          <w:t xml:space="preserve">от 30.04.2022 № 776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порядку ее предоставления за II и III кварталы 2022 года (далее – Порядок), в соответствии с которым она предоставляется организациям и ИП, у которых основной вид деятельности из ЕГРЮЛ и ЕГРИП по состоянию на 01.04.2022 назван в перечнях, приведенных в приложении № 1 или № 2 к Порядку.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Большинство плательщиков получили отсрочку по страховым взносам за II квартал 2022 года. Как отметили в ФНС России, отсрочка плательщикам, соответствующим установленным критериям, будет предоставлена автоматически. Никаких заявлений для этого подавать не нужно (см. </w:t>
      </w:r>
      <w:hyperlink r:id="rId10">
        <w:r w:rsidDel="00000000" w:rsidR="00000000" w:rsidRPr="00000000">
          <w:rPr>
            <w:rFonts w:ascii="Verdana" w:cs="Verdana" w:eastAsia="Verdana" w:hAnsi="Verdana"/>
            <w:color w:val="49689a"/>
            <w:sz w:val="21"/>
            <w:szCs w:val="21"/>
            <w:u w:val="single"/>
            <w:rtl w:val="0"/>
          </w:rPr>
          <w:t xml:space="preserve">здесь</w:t>
        </w:r>
      </w:hyperlink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). Срок уплаты взносов продлевается на 12 месяцев. В соответствии с </w:t>
      </w:r>
      <w:hyperlink r:id="rId11">
        <w:r w:rsidDel="00000000" w:rsidR="00000000" w:rsidRPr="00000000">
          <w:rPr>
            <w:rFonts w:ascii="Verdana" w:cs="Verdana" w:eastAsia="Verdana" w:hAnsi="Verdana"/>
            <w:color w:val="49689a"/>
            <w:sz w:val="21"/>
            <w:szCs w:val="21"/>
            <w:u w:val="single"/>
            <w:rtl w:val="0"/>
          </w:rPr>
          <w:t xml:space="preserve">п. 2 ст. 431 НК РФ</w:t>
        </w:r>
      </w:hyperlink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взносы нужно платить ежемесячно не позднее 15-го числа. Таким образом, платежи по отсроченным взносам за II квартал 2022 года необходимо произвести в следующие сроки: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Rule="auto"/>
        <w:ind w:firstLine="700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 апрель 2022 года – не позднее 15 мая 2023 года;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Rule="auto"/>
        <w:ind w:firstLine="700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 май 2022 года – не позднее 15 июня 2023 года;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ind w:firstLine="700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 июнь 2022 года – не позднее 17 июля 2023 года (так как 15.07.2023 выпадает на субботу).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ind w:left="20" w:firstLine="700"/>
        <w:jc w:val="both"/>
        <w:rPr>
          <w:rFonts w:ascii="Verdana" w:cs="Verdana" w:eastAsia="Verdana" w:hAnsi="Verdana"/>
          <w:i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Учет начисленных, но уплаченных в бюджет страховых взносов за 2 квартал 2022 года, будет отражаться в балансе по состоянию на 01.01.2023 как непросроченная задолженность </w:t>
      </w:r>
      <w:r w:rsidDel="00000000" w:rsidR="00000000" w:rsidRPr="00000000">
        <w:rPr>
          <w:rFonts w:ascii="Verdana" w:cs="Verdana" w:eastAsia="Verdana" w:hAnsi="Verdana"/>
          <w:i w:val="1"/>
          <w:sz w:val="21"/>
          <w:szCs w:val="21"/>
          <w:rtl w:val="0"/>
        </w:rPr>
        <w:t xml:space="preserve">перед бюджетом на тех же счетах по учету расчетов по ним или учет отсрочки по платежам в бюджет ведется в подобных случаях на иных счетах?</w:t>
      </w:r>
    </w:p>
    <w:p w:rsidR="00000000" w:rsidDel="00000000" w:rsidP="00000000" w:rsidRDefault="00000000" w:rsidRPr="00000000" w14:paraId="00000022">
      <w:pPr>
        <w:shd w:fill="ffffff" w:val="clear"/>
        <w:ind w:left="20" w:firstLine="70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ivsvyxjbrrx2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Екатерина Игоревна 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 по Постановлению Правительства РФ от 29.04.2022 года № 776 «Об изменении сроков уплаты страховых взносов в 2022 году» в соответствии с которым организациям  с определёнными кодами ОКВЭД сроки уплаты страховых взносов во  2 квартале 2022 года  перенесли на 1 год.: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это Постановление исполняется по желанию организации (НКО)  (при условии, что НКО  соответствует критериям Постановления) или носит превентивный характер?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Если превентивный характер, то как быть, если у НКО Грант и страховые взносы включены в смету. И что по вашему мнению может быть, если НКО не будет переносить уплату страховых взносов на год и  перечислит их во 2 квартале 2022 года в свои сроки?  </w:t>
      </w:r>
    </w:p>
    <w:p w:rsidR="00000000" w:rsidDel="00000000" w:rsidP="00000000" w:rsidRDefault="00000000" w:rsidRPr="00000000" w14:paraId="00000028">
      <w:pPr>
        <w:pStyle w:val="Heading1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j6c1sdxettjp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Ольга Алексеевна К.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Есть ли какие-нибудь льготы для социально-ориентированных НКО (образовательных организаций) в 2022 году?</w:t>
      </w:r>
    </w:p>
    <w:p w:rsidR="00000000" w:rsidDel="00000000" w:rsidP="00000000" w:rsidRDefault="00000000" w:rsidRPr="00000000" w14:paraId="0000002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Например, по уплате налога по УСН за 2021 год и 1 квартал 2022 года? </w:t>
      </w:r>
    </w:p>
    <w:p w:rsidR="00000000" w:rsidDel="00000000" w:rsidP="00000000" w:rsidRDefault="00000000" w:rsidRPr="00000000" w14:paraId="0000002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Или еще какие-то льготы?</w:t>
      </w:r>
    </w:p>
    <w:p w:rsidR="00000000" w:rsidDel="00000000" w:rsidP="00000000" w:rsidRDefault="00000000" w:rsidRPr="00000000" w14:paraId="0000002D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ortotg73e3k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Маргарита Николаевна К.</w:t>
      </w:r>
    </w:p>
    <w:p w:rsidR="00000000" w:rsidDel="00000000" w:rsidP="00000000" w:rsidRDefault="00000000" w:rsidRPr="00000000" w14:paraId="0000002E">
      <w:pPr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36"/>
          <w:szCs w:val="36"/>
          <w:highlight w:val="white"/>
          <w:rtl w:val="0"/>
        </w:rPr>
        <w:t xml:space="preserve">ВАСИЛЬЕВА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Фонду предоставлена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безвозмездно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социальная реклама по проекту ХИМИЯ БЫЛА...</w:t>
      </w:r>
    </w:p>
    <w:p w:rsidR="00000000" w:rsidDel="00000000" w:rsidP="00000000" w:rsidRDefault="00000000" w:rsidRPr="00000000" w14:paraId="0000003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данную услугу поставить на Баланс и нужно ли это делать?</w:t>
      </w:r>
    </w:p>
    <w:p w:rsidR="00000000" w:rsidDel="00000000" w:rsidP="00000000" w:rsidRDefault="00000000" w:rsidRPr="00000000" w14:paraId="0000003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Сканы прилагаем.</w:t>
      </w:r>
    </w:p>
    <w:p w:rsidR="00000000" w:rsidDel="00000000" w:rsidP="00000000" w:rsidRDefault="00000000" w:rsidRPr="00000000" w14:paraId="0000003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tt179vb6j3rv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Альфия Б.</w:t>
      </w:r>
    </w:p>
    <w:p w:rsidR="00000000" w:rsidDel="00000000" w:rsidP="00000000" w:rsidRDefault="00000000" w:rsidRPr="00000000" w14:paraId="0000003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Благотворительный фонд на средства гранта хочет обучить всех штатных сотрудников (курс рассчитан на 30 часов, с выдачей сертификатов). Курс по коммуникативным навыкам в современной медицине, что имеет отношение к деятельности фонда. На данном курсе будут обучаться все сотрудники фонда, в том числе и бухгалтер. Договор будет составлен между юр.лицами и оплата будет произведена образовательной организации от Фонда.</w:t>
      </w:r>
    </w:p>
    <w:p w:rsidR="00000000" w:rsidDel="00000000" w:rsidP="00000000" w:rsidRDefault="00000000" w:rsidRPr="00000000" w14:paraId="0000003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обязательно ли указывать в договоре между образовательной организацией и фондом фамилии обучающихся? или достаточно указать количество? </w:t>
      </w:r>
    </w:p>
    <w:p w:rsidR="00000000" w:rsidDel="00000000" w:rsidP="00000000" w:rsidRDefault="00000000" w:rsidRPr="00000000" w14:paraId="0000003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возникают ли НДФЛ и страховые взносы? Особенно интересует по тем сотрудникам, которые проходят курс, не связанный с их профессией напрямую, например, бухгалтер (но это важно Фонду чтобы все сотрудники владели базовыми знаниями по деятельности Фонда)?</w:t>
      </w:r>
    </w:p>
    <w:p w:rsidR="00000000" w:rsidDel="00000000" w:rsidP="00000000" w:rsidRDefault="00000000" w:rsidRPr="00000000" w14:paraId="0000003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3) имеем ли право оплатить курс за внешнего эксперта, который не состоит в отношениях с Фондом (привлекаем по ГПХ по необходимости на краткосрочный срок) с целью дальнейшей трансляции им полученных знаний нашей целевой аудитории, в наших интересах и на наших мероприятиях (также по договору ГПХ), в данном случае возникает ли ндфл и страховые взносы?</w:t>
      </w:r>
    </w:p>
    <w:p w:rsidR="00000000" w:rsidDel="00000000" w:rsidP="00000000" w:rsidRDefault="00000000" w:rsidRPr="00000000" w14:paraId="0000003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3k4vc8sr4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 Екатерина Игоревна Б.</w:t>
      </w:r>
    </w:p>
    <w:p w:rsidR="00000000" w:rsidDel="00000000" w:rsidP="00000000" w:rsidRDefault="00000000" w:rsidRPr="00000000" w14:paraId="0000003B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6bw7cn2qoun3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В нашем Реабилитационном центре проводится адаптация и реабилитация людей с ограниченными возможностями здоровья. В связи с этим в работе специалистов и помогающим им добровольцев  иногда возникают разные ситуации, связанные с оказанием первой медицинской  помощи.    Можно ли возместить добровольцу обучение в интересах нашей организации   по программе "Оказание первой помощи в организации"? </w:t>
      </w:r>
    </w:p>
    <w:p w:rsidR="00000000" w:rsidDel="00000000" w:rsidP="00000000" w:rsidRDefault="00000000" w:rsidRPr="00000000" w14:paraId="0000003D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А можно ли возместить добровольцу повышение квалификации или возместить переподготовку в интересах организации? И если нельзя возмещать, а уже возместили, то показываем как полученный доход в натуральном виде и подаем в налоговую инспекцию сведения о невозможности удержать НДФЛ? </w:t>
      </w:r>
    </w:p>
    <w:p w:rsidR="00000000" w:rsidDel="00000000" w:rsidP="00000000" w:rsidRDefault="00000000" w:rsidRPr="00000000" w14:paraId="0000003E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ocmy2qe0xu2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Светлана Д.</w:t>
      </w:r>
    </w:p>
    <w:p w:rsidR="00000000" w:rsidDel="00000000" w:rsidP="00000000" w:rsidRDefault="00000000" w:rsidRPr="00000000" w14:paraId="0000003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Члены ревизионной комиссии проводят проверку деятельности НКО по окончании года и составляют акт ревизии. По решению коллегиального органа членам ревизионной комиссии разово выплачивается вознаграждение. Должна ли организация ежемесячно подавать сведения в ПФР по форме СЗВ-М на членов ревизионной комиссии, не являющихся работниками данной организации, или только за тот месяц, в котором выплачивалось вознаграждение? </w:t>
      </w:r>
    </w:p>
    <w:p w:rsidR="00000000" w:rsidDel="00000000" w:rsidP="00000000" w:rsidRDefault="00000000" w:rsidRPr="00000000" w14:paraId="0000004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Дополнение к вопросу.</w:t>
      </w:r>
    </w:p>
    <w:p w:rsidR="00000000" w:rsidDel="00000000" w:rsidP="00000000" w:rsidRDefault="00000000" w:rsidRPr="00000000" w14:paraId="0000004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Ревизионная комиссия избрана на 2020 год. Проверку финансово-хозяйственной деятельности организации проводила в апреле 2021г. Высшим коллегиальным органом в мае 2021 г. принято решение о выплате вознаграждения членам ревизионной комиссии. Вознаграждение выплачено в октябре 2021г. Нужно ли подавать персонифицированные сведения в ПФР и за какие месяцы?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304tho80whxo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Татьяна Сергеевна 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color w:val="ffff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</w:p>
    <w:p w:rsidR="00000000" w:rsidDel="00000000" w:rsidP="00000000" w:rsidRDefault="00000000" w:rsidRPr="00000000" w14:paraId="0000004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Благотворительный фонд осуществляет деятельность, приносящую доход:</w:t>
      </w:r>
    </w:p>
    <w:p w:rsidR="00000000" w:rsidDel="00000000" w:rsidP="00000000" w:rsidRDefault="00000000" w:rsidRPr="00000000" w14:paraId="0000004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инвестирует денежные средства через инвестиционную площадку (выдача займов) и открывает депозиты в банке.</w:t>
      </w:r>
    </w:p>
    <w:p w:rsidR="00000000" w:rsidDel="00000000" w:rsidP="00000000" w:rsidRDefault="00000000" w:rsidRPr="00000000" w14:paraId="0000004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Можно ли отражать проценты к получению по выданным займам в бухгалтерском учете ежемесячно согласно графика платежей, а проценты по депозиту ежемесячно на конец месяца? или необходимо отражать  именно на конец месяца?</w:t>
      </w:r>
    </w:p>
    <w:p w:rsidR="00000000" w:rsidDel="00000000" w:rsidP="00000000" w:rsidRDefault="00000000" w:rsidRPr="00000000" w14:paraId="0000004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Депозит сроком на 2 месяца без возможности досрочного отзыва и пополнения отражать в бухгалтерском учете на счете 58 "Финансовые вложения", счет 55 не подойдет для этого?</w:t>
      </w:r>
    </w:p>
    <w:p w:rsidR="00000000" w:rsidDel="00000000" w:rsidP="00000000" w:rsidRDefault="00000000" w:rsidRPr="00000000" w14:paraId="00000049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по формуле - наш автомобиль получается грузовой (РМП =408, РМГ = 442), в ПТС указана категория ТС- В, разрешенная максимальная масса - 3500, но мы осуществляем перевозку пассажиров и инвалидов-колясочников, для этого используем форму путевого листа легкового автомобиля с добавлением обязательных реквизитов с 2021 г. Наша организация верно выбрала форму путевого листа именно для легкового автомобиля, а не грузового?</w:t>
      </w:r>
    </w:p>
    <w:p w:rsidR="00000000" w:rsidDel="00000000" w:rsidP="00000000" w:rsidRDefault="00000000" w:rsidRPr="00000000" w14:paraId="0000004A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eixis7e1dis2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10. Вероника Юрьевна Б.</w:t>
      </w:r>
    </w:p>
    <w:p w:rsidR="00000000" w:rsidDel="00000000" w:rsidP="00000000" w:rsidRDefault="00000000" w:rsidRPr="00000000" w14:paraId="0000004B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5hxqh9yjnza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получила субсидию из обл. бюджета. В смете есть статья  Призы и награждение победителей мероприятия.</w:t>
      </w:r>
    </w:p>
    <w:p w:rsidR="00000000" w:rsidDel="00000000" w:rsidP="00000000" w:rsidRDefault="00000000" w:rsidRPr="00000000" w14:paraId="0000004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Призы будут стоимостью 4000,00 руб и выше. Наши действия.</w:t>
      </w:r>
    </w:p>
    <w:p w:rsidR="00000000" w:rsidDel="00000000" w:rsidP="00000000" w:rsidRDefault="00000000" w:rsidRPr="00000000" w14:paraId="0000004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документы мы должны представить? (Договора, акты с участниками мероприятий).</w:t>
      </w:r>
    </w:p>
    <w:p w:rsidR="00000000" w:rsidDel="00000000" w:rsidP="00000000" w:rsidRDefault="00000000" w:rsidRPr="00000000" w14:paraId="0000004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 где у вас на сайте можно скачать эти документы.?</w:t>
      </w:r>
    </w:p>
    <w:p w:rsidR="00000000" w:rsidDel="00000000" w:rsidP="00000000" w:rsidRDefault="00000000" w:rsidRPr="00000000" w14:paraId="00000050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rg4nqsk8gc5n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11. Галина Васильевна К.</w:t>
      </w:r>
    </w:p>
    <w:p w:rsidR="00000000" w:rsidDel="00000000" w:rsidP="00000000" w:rsidRDefault="00000000" w:rsidRPr="00000000" w14:paraId="0000005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С 30.12.2021 ч.6 ст. 5 ФЗ № 307-ФЗ утратила силу (федеральный закон от 30.12.2021 № 435-ФЗ).</w:t>
      </w:r>
    </w:p>
    <w:p w:rsidR="00000000" w:rsidDel="00000000" w:rsidP="00000000" w:rsidRDefault="00000000" w:rsidRPr="00000000" w14:paraId="0000005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пп."л.2" п. 7 ст.7.1 Федерального закона «О государственной регистрации юридических лиц и индивидуальных предпринимателей» установлено, что обязательному внесению в Единый федеральный реестр (Федресурс) подлежат сведения о бухгалтерской (финансовой) отчетности в случаях, если федеральным законом установлена обязанность по раскрытию такой отчетности в средствах массовой информации.</w:t>
      </w:r>
    </w:p>
    <w:p w:rsidR="00000000" w:rsidDel="00000000" w:rsidP="00000000" w:rsidRDefault="00000000" w:rsidRPr="00000000" w14:paraId="0000005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Информационных письмах от 13.01.2022 № ИС-аудит-48 и № ИС-учет-36 Минфин РФ также разъясняет, что сведения об отчетности организаций и результатах обязательного аудита ее подлежат внесению в Федресурс, когда федеральным законом установлена обязанность по раскрытию такой информации в СМИ.</w:t>
      </w:r>
    </w:p>
    <w:p w:rsidR="00000000" w:rsidDel="00000000" w:rsidP="00000000" w:rsidRDefault="00000000" w:rsidRPr="00000000" w14:paraId="0000005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Обязаны публиковать годовую бухгалтерскую отчетность, в частности:</w:t>
      </w:r>
    </w:p>
    <w:p w:rsidR="00000000" w:rsidDel="00000000" w:rsidP="00000000" w:rsidRDefault="00000000" w:rsidRPr="00000000" w14:paraId="0000005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публичные акционерные общества (ст. 92 ФЗ № 208-ФЗ «Об акционерных обществах»);</w:t>
      </w:r>
    </w:p>
    <w:p w:rsidR="00000000" w:rsidDel="00000000" w:rsidP="00000000" w:rsidRDefault="00000000" w:rsidRPr="00000000" w14:paraId="0000005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непубличные акционерные общества с числом акционеров более 50 (ст. 92 ФЗ № 208-ФЗ «Об акционерных обществах»);</w:t>
      </w:r>
    </w:p>
    <w:p w:rsidR="00000000" w:rsidDel="00000000" w:rsidP="00000000" w:rsidRDefault="00000000" w:rsidRPr="00000000" w14:paraId="0000005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акционерные общества, включая непубличные общества, в случае публичного размещения им облигаций или иных ценных бумаг (ст. 92 ФЗ № 208-ФЗ «Об акционерных обществах»);</w:t>
      </w:r>
    </w:p>
    <w:p w:rsidR="00000000" w:rsidDel="00000000" w:rsidP="00000000" w:rsidRDefault="00000000" w:rsidRPr="00000000" w14:paraId="0000005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общества с ограниченной ответственностью в случае публичного размещения облигаций и иных эмиссионных ценных бумаг (ст.49 ФЗ № 14-ФЗ «Об обществах с ограниченной ответственностью»);</w:t>
      </w:r>
    </w:p>
    <w:p w:rsidR="00000000" w:rsidDel="00000000" w:rsidP="00000000" w:rsidRDefault="00000000" w:rsidRPr="00000000" w14:paraId="0000005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государственные корпорации (ст.7.1 ФЗ № 7-ФЗ «О некоммерческих организациях»);</w:t>
      </w:r>
    </w:p>
    <w:p w:rsidR="00000000" w:rsidDel="00000000" w:rsidP="00000000" w:rsidRDefault="00000000" w:rsidRPr="00000000" w14:paraId="0000005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кредитные организации (ст. 8 ФЗ № 395-1 «О банках и банковской деятельности»);</w:t>
      </w:r>
    </w:p>
    <w:p w:rsidR="00000000" w:rsidDel="00000000" w:rsidP="00000000" w:rsidRDefault="00000000" w:rsidRPr="00000000" w14:paraId="0000005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саморегулируемые организации (п.11 ст. 7 ФЗ № 315-ФЗ «О саморегулируемых организациях»;</w:t>
      </w:r>
    </w:p>
    <w:p w:rsidR="00000000" w:rsidDel="00000000" w:rsidP="00000000" w:rsidRDefault="00000000" w:rsidRPr="00000000" w14:paraId="0000005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организации, составляющие консолидирующую бухгалтерскую отчетность (ст. 7 ФЗ № 208-ФЗ «О консолидированной финансовой отчетности»);</w:t>
      </w:r>
    </w:p>
    <w:p w:rsidR="00000000" w:rsidDel="00000000" w:rsidP="00000000" w:rsidRDefault="00000000" w:rsidRPr="00000000" w14:paraId="0000006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страховые организации (ст. 29 ФЗ № 4015-1 «Об организации страхового дела в Российской Федерации»).</w:t>
      </w:r>
    </w:p>
    <w:p w:rsidR="00000000" w:rsidDel="00000000" w:rsidP="00000000" w:rsidRDefault="00000000" w:rsidRPr="00000000" w14:paraId="0000006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- и другие</w:t>
      </w:r>
    </w:p>
    <w:p w:rsidR="00000000" w:rsidDel="00000000" w:rsidP="00000000" w:rsidRDefault="00000000" w:rsidRPr="00000000" w14:paraId="0000006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Мы теперь не должны размещать аудиторское заключение за 2021 год на Федресурсе?</w:t>
      </w:r>
    </w:p>
    <w:p w:rsidR="00000000" w:rsidDel="00000000" w:rsidP="00000000" w:rsidRDefault="00000000" w:rsidRPr="00000000" w14:paraId="0000006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v4u9lxiafew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12. Ольга Валерьевна П.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Просим разъяснить порядок учета амортизации в НКО в бухгалтерском учете. НКО (образовательная организация) осуществляет как некоммерческую, так и прочую (предпринимательскую) деятельность.</w:t>
      </w:r>
    </w:p>
    <w:p w:rsidR="00000000" w:rsidDel="00000000" w:rsidP="00000000" w:rsidRDefault="00000000" w:rsidRPr="00000000" w14:paraId="00000067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НКО формирует фонд недвижимого и особо ценного движимого имущества. При поступлении объекта ОС делаются проводки:</w:t>
      </w:r>
    </w:p>
    <w:p w:rsidR="00000000" w:rsidDel="00000000" w:rsidP="00000000" w:rsidRDefault="00000000" w:rsidRPr="00000000" w14:paraId="00000068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08 - 60</w:t>
      </w:r>
    </w:p>
    <w:p w:rsidR="00000000" w:rsidDel="00000000" w:rsidP="00000000" w:rsidRDefault="00000000" w:rsidRPr="00000000" w14:paraId="00000069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01 - 08</w:t>
      </w:r>
    </w:p>
    <w:p w:rsidR="00000000" w:rsidDel="00000000" w:rsidP="00000000" w:rsidRDefault="00000000" w:rsidRPr="00000000" w14:paraId="0000006A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86 - 83 - как для ОС, приобретенных за счет целевых средств, так и для ОС, приобретенных за счет средств от предпринимательской деятельности (разные источники для учета на счете 86 – либо целевые средства, либо прибыль от предпринимательской деятельности).</w:t>
      </w:r>
    </w:p>
    <w:p w:rsidR="00000000" w:rsidDel="00000000" w:rsidP="00000000" w:rsidRDefault="00000000" w:rsidRPr="00000000" w14:paraId="0000006B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начислении амортизации видим следующие варианты учета:</w:t>
      </w:r>
    </w:p>
    <w:p w:rsidR="00000000" w:rsidDel="00000000" w:rsidP="00000000" w:rsidRDefault="00000000" w:rsidRPr="00000000" w14:paraId="0000006C">
      <w:pPr>
        <w:shd w:fill="ffffff" w:val="clear"/>
        <w:spacing w:after="240" w:before="240" w:lineRule="auto"/>
        <w:ind w:left="360" w:firstLine="206.92913385826756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Для ОС, приобретенных за счет целевых средств и средств от предпринимательской деятельности: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83 - 02 – считаем этот способ наиболее оптимальным.</w:t>
      </w:r>
    </w:p>
    <w:p w:rsidR="00000000" w:rsidDel="00000000" w:rsidP="00000000" w:rsidRDefault="00000000" w:rsidRPr="00000000" w14:paraId="0000006D">
      <w:pPr>
        <w:shd w:fill="ffffff" w:val="clear"/>
        <w:spacing w:after="240" w:before="240" w:lineRule="auto"/>
        <w:ind w:left="360" w:firstLine="206.9291338582675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Для ОС, приобретенных за счет целевых средств и средств от предпринимательской деятельности:</w:t>
      </w:r>
    </w:p>
    <w:p w:rsidR="00000000" w:rsidDel="00000000" w:rsidP="00000000" w:rsidRDefault="00000000" w:rsidRPr="00000000" w14:paraId="0000006E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20 (26 и другие используемые затратные счета в НКО) – 02</w:t>
      </w:r>
    </w:p>
    <w:p w:rsidR="00000000" w:rsidDel="00000000" w:rsidP="00000000" w:rsidRDefault="00000000" w:rsidRPr="00000000" w14:paraId="0000006F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86 - 20 (26 и другие используемые затратные счета в НКО)</w:t>
      </w:r>
    </w:p>
    <w:p w:rsidR="00000000" w:rsidDel="00000000" w:rsidP="00000000" w:rsidRDefault="00000000" w:rsidRPr="00000000" w14:paraId="00000070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83 – 86</w:t>
      </w:r>
    </w:p>
    <w:p w:rsidR="00000000" w:rsidDel="00000000" w:rsidP="00000000" w:rsidRDefault="00000000" w:rsidRPr="00000000" w14:paraId="00000071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использовании данного способа на счете 86 в текущем периоде появляется аналитика по уже закрытым договорам целевого финансирования.</w:t>
      </w:r>
    </w:p>
    <w:p w:rsidR="00000000" w:rsidDel="00000000" w:rsidP="00000000" w:rsidRDefault="00000000" w:rsidRPr="00000000" w14:paraId="00000072">
      <w:pPr>
        <w:shd w:fill="ffffff" w:val="clear"/>
        <w:spacing w:after="240" w:before="240" w:lineRule="auto"/>
        <w:ind w:left="360" w:firstLine="206.92913385826756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а) Для ОС, приобретенных за счет целевых средств:</w:t>
      </w:r>
    </w:p>
    <w:p w:rsidR="00000000" w:rsidDel="00000000" w:rsidP="00000000" w:rsidRDefault="00000000" w:rsidRPr="00000000" w14:paraId="00000073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20 (26 и другие используемые затратные счета в НКО) – 02</w:t>
      </w:r>
    </w:p>
    <w:p w:rsidR="00000000" w:rsidDel="00000000" w:rsidP="00000000" w:rsidRDefault="00000000" w:rsidRPr="00000000" w14:paraId="00000074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86 - 20 (26 и другие используемые затратные счета в НКО)</w:t>
      </w:r>
    </w:p>
    <w:p w:rsidR="00000000" w:rsidDel="00000000" w:rsidP="00000000" w:rsidRDefault="00000000" w:rsidRPr="00000000" w14:paraId="00000075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83 – 86</w:t>
      </w:r>
    </w:p>
    <w:p w:rsidR="00000000" w:rsidDel="00000000" w:rsidP="00000000" w:rsidRDefault="00000000" w:rsidRPr="00000000" w14:paraId="00000076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б) Для ОС, приобретенных за счет средств от предпринимательской деятельности:</w:t>
      </w:r>
    </w:p>
    <w:p w:rsidR="00000000" w:rsidDel="00000000" w:rsidP="00000000" w:rsidRDefault="00000000" w:rsidRPr="00000000" w14:paraId="00000077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20 (26 и другие используемые затратные счета в НКО) – 02</w:t>
      </w:r>
    </w:p>
    <w:p w:rsidR="00000000" w:rsidDel="00000000" w:rsidP="00000000" w:rsidRDefault="00000000" w:rsidRPr="00000000" w14:paraId="00000078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90.02 – 20 (26, …)</w:t>
      </w:r>
    </w:p>
    <w:p w:rsidR="00000000" w:rsidDel="00000000" w:rsidP="00000000" w:rsidRDefault="00000000" w:rsidRPr="00000000" w14:paraId="00000079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83 - 86</w:t>
      </w:r>
    </w:p>
    <w:p w:rsidR="00000000" w:rsidDel="00000000" w:rsidP="00000000" w:rsidRDefault="00000000" w:rsidRPr="00000000" w14:paraId="0000007A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данном случае правомерно ли уменьшение прибыли текущего периода за счет амортизации ОС от предпринимательской деятельности, при условии, что формируется фонд недвижимого имущества?</w:t>
      </w:r>
    </w:p>
    <w:p w:rsidR="00000000" w:rsidDel="00000000" w:rsidP="00000000" w:rsidRDefault="00000000" w:rsidRPr="00000000" w14:paraId="0000007B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НКО не формирует фонд недвижимого и особо ценного движимого имущества, то как отразить в бухгалтерском учете на счете 86 использования целевых средств при приобретении ОС?</w:t>
      </w:r>
    </w:p>
    <w:p w:rsidR="00000000" w:rsidDel="00000000" w:rsidP="00000000" w:rsidRDefault="00000000" w:rsidRPr="00000000" w14:paraId="0000007C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Учет резервов на отпуск и вознаграждение за счет средств целевого финансирования (ЦФ).</w:t>
      </w:r>
    </w:p>
    <w:p w:rsidR="00000000" w:rsidDel="00000000" w:rsidP="00000000" w:rsidRDefault="00000000" w:rsidRPr="00000000" w14:paraId="0000007D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а) НКО получает ЦФ на определенные цели и на установленный срок (например, на год (не совпадает с календарным), в договоре ЦФ предусмотрены расходы на все выплаты в соответствии с Положением об оплате труда). Сотрудник участвует как в коммерческой деятельности, так и в некоммерческой деятельности за счет средств целевого финансирования. Начислен резерв частично за счет средств от коммерческой деятельности, частично – от некоммерческой (целевого финансирования).</w:t>
      </w:r>
    </w:p>
    <w:p w:rsidR="00000000" w:rsidDel="00000000" w:rsidP="00000000" w:rsidRDefault="00000000" w:rsidRPr="00000000" w14:paraId="0000007E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Каким документом подтвердить использование целевых средств на формирование резерва?</w:t>
      </w:r>
    </w:p>
    <w:p w:rsidR="00000000" w:rsidDel="00000000" w:rsidP="00000000" w:rsidRDefault="00000000" w:rsidRPr="00000000" w14:paraId="0000007F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б) На момент выплаты отпуска или вознаграждения договор целевого финансирования закрыт. Размер фактической выплаты больше (меньше) начисленного резерва.</w:t>
      </w:r>
    </w:p>
    <w:p w:rsidR="00000000" w:rsidDel="00000000" w:rsidP="00000000" w:rsidRDefault="00000000" w:rsidRPr="00000000" w14:paraId="00000080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За счет каких средств производить корректировку начисленного резерва?</w:t>
      </w:r>
    </w:p>
    <w:p w:rsidR="00000000" w:rsidDel="00000000" w:rsidP="00000000" w:rsidRDefault="00000000" w:rsidRPr="00000000" w14:paraId="00000081">
      <w:pPr>
        <w:shd w:fill="ffffff" w:val="clear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Не возникнет ли нецелевого использования средств в случае, если размер фактической выплаты окажется меньше начисленного резерва за счет средств ЦФ?</w:t>
      </w:r>
    </w:p>
    <w:p w:rsidR="00000000" w:rsidDel="00000000" w:rsidP="00000000" w:rsidRDefault="00000000" w:rsidRPr="00000000" w14:paraId="00000082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cl481t67x70z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13. Маргарита Николаевна К.</w:t>
      </w:r>
    </w:p>
    <w:p w:rsidR="00000000" w:rsidDel="00000000" w:rsidP="00000000" w:rsidRDefault="00000000" w:rsidRPr="00000000" w14:paraId="00000083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Просим пояснить возможность применения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Постановления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Правительства РФ от 30.03.2022 №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512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"Об изменении сроков уплаты налога (авансового платежа по налогу), уплачиваемого в связи с применением упрощенной системы налогообложения в 2022 году" для следующих организаций-</w:t>
      </w:r>
    </w:p>
    <w:p w:rsidR="00000000" w:rsidDel="00000000" w:rsidP="00000000" w:rsidRDefault="00000000" w:rsidRPr="00000000" w14:paraId="0000008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Фонд ОКВЭД 90.02 - Основной</w:t>
      </w:r>
    </w:p>
    <w:p w:rsidR="00000000" w:rsidDel="00000000" w:rsidP="00000000" w:rsidRDefault="00000000" w:rsidRPr="00000000" w14:paraId="0000008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Фонд ОКВЭД 88.99 - Основной</w:t>
      </w:r>
    </w:p>
    <w:p w:rsidR="00000000" w:rsidDel="00000000" w:rsidP="00000000" w:rsidRDefault="00000000" w:rsidRPr="00000000" w14:paraId="0000008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НКО ОКВЭД 88 - не Основной.</w:t>
      </w:r>
    </w:p>
    <w:p w:rsidR="00000000" w:rsidDel="00000000" w:rsidP="00000000" w:rsidRDefault="00000000" w:rsidRPr="00000000" w14:paraId="00000088">
      <w:pPr>
        <w:pStyle w:val="Heading1"/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ewfuece3hiwj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14. Светлана Владимировна Б.</w:t>
      </w:r>
    </w:p>
    <w:p w:rsidR="00000000" w:rsidDel="00000000" w:rsidP="00000000" w:rsidRDefault="00000000" w:rsidRPr="00000000" w14:paraId="00000089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vljhqnly68bi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НКО решило подарить свое недвижимое имущество (помещение) общественной организации.</w:t>
      </w:r>
    </w:p>
    <w:p w:rsidR="00000000" w:rsidDel="00000000" w:rsidP="00000000" w:rsidRDefault="00000000" w:rsidRPr="00000000" w14:paraId="0000008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Что должно стать основанием для заключения договора дарения?</w:t>
      </w:r>
    </w:p>
    <w:p w:rsidR="00000000" w:rsidDel="00000000" w:rsidP="00000000" w:rsidRDefault="00000000" w:rsidRPr="00000000" w14:paraId="0000008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документы нужно оформить в бухгалтерии?</w:t>
      </w:r>
    </w:p>
    <w:p w:rsidR="00000000" w:rsidDel="00000000" w:rsidP="00000000" w:rsidRDefault="00000000" w:rsidRPr="00000000" w14:paraId="0000008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Какую стоимость нужно указать в договоре дарения?</w:t>
      </w:r>
    </w:p>
    <w:p w:rsidR="00000000" w:rsidDel="00000000" w:rsidP="00000000" w:rsidRDefault="00000000" w:rsidRPr="00000000" w14:paraId="0000008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ts.1c.ru/db/garant/content/10800200/hdoc/43102" TargetMode="External"/><Relationship Id="rId10" Type="http://schemas.openxmlformats.org/officeDocument/2006/relationships/hyperlink" Target="https://www.nalog.gov.ru/rn77/news/tax_doc_news/12183662/" TargetMode="External"/><Relationship Id="rId9" Type="http://schemas.openxmlformats.org/officeDocument/2006/relationships/hyperlink" Target="http://publication.pravo.gov.ru/Document/View/0001202204300003" TargetMode="Externa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118&amp;date=11.05.2022" TargetMode="External"/><Relationship Id="rId7" Type="http://schemas.openxmlformats.org/officeDocument/2006/relationships/hyperlink" Target="https://login.consultant.ru/link/?req=doc&amp;base=LAW&amp;n=412118&amp;dst=104794&amp;field=134&amp;date=11.05.2022" TargetMode="External"/><Relationship Id="rId8" Type="http://schemas.openxmlformats.org/officeDocument/2006/relationships/hyperlink" Target="https://login.consultant.ru/link/?req=doc&amp;base=LAW&amp;n=412118&amp;dst=104965&amp;field=134&amp;date=11.05.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