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New Roman" w:cs="Times New Roman" w:eastAsia="Times New Roman" w:hAnsi="Times New Roman"/>
          <w:b w:val="1"/>
          <w:sz w:val="36"/>
          <w:szCs w:val="36"/>
        </w:rPr>
      </w:pPr>
      <w:bookmarkStart w:colFirst="0" w:colLast="0" w:name="_4zjxfg8ajifu" w:id="0"/>
      <w:bookmarkEnd w:id="0"/>
      <w:r w:rsidDel="00000000" w:rsidR="00000000" w:rsidRPr="00000000">
        <w:rPr>
          <w:rFonts w:ascii="Times New Roman" w:cs="Times New Roman" w:eastAsia="Times New Roman" w:hAnsi="Times New Roman"/>
          <w:b w:val="1"/>
          <w:sz w:val="36"/>
          <w:szCs w:val="36"/>
          <w:rtl w:val="0"/>
        </w:rPr>
        <w:t xml:space="preserve">Вопросы к вебинару 12 апреля 2022 г. (вторник)</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shd w:fill="ffffff" w:val="clear"/>
        <w:spacing w:after="220" w:lineRule="auto"/>
        <w:ind w:firstLine="720"/>
        <w:jc w:val="both"/>
        <w:rPr>
          <w:rFonts w:ascii="Times New Roman" w:cs="Times New Roman" w:eastAsia="Times New Roman" w:hAnsi="Times New Roman"/>
          <w:b w:val="1"/>
          <w:sz w:val="36"/>
          <w:szCs w:val="36"/>
        </w:rPr>
      </w:pPr>
      <w:bookmarkStart w:colFirst="0" w:colLast="0" w:name="_v290ys47yjtk" w:id="1"/>
      <w:bookmarkEnd w:id="1"/>
      <w:r w:rsidDel="00000000" w:rsidR="00000000" w:rsidRPr="00000000">
        <w:rPr>
          <w:rFonts w:ascii="Times New Roman" w:cs="Times New Roman" w:eastAsia="Times New Roman" w:hAnsi="Times New Roman"/>
          <w:b w:val="1"/>
          <w:sz w:val="36"/>
          <w:szCs w:val="36"/>
          <w:rtl w:val="0"/>
        </w:rPr>
        <w:t xml:space="preserve">1. Вера Леонидовна Д.</w:t>
      </w:r>
    </w:p>
    <w:p w:rsidR="00000000" w:rsidDel="00000000" w:rsidP="00000000" w:rsidRDefault="00000000" w:rsidRPr="00000000" w14:paraId="00000004">
      <w:pPr>
        <w:shd w:fill="ffffff" w:val="clear"/>
        <w:spacing w:line="240" w:lineRule="auto"/>
        <w:ind w:firstLine="720"/>
        <w:jc w:val="both"/>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5">
      <w:pPr>
        <w:shd w:fill="ffffff" w:val="clear"/>
        <w:spacing w:after="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 01.07.2022 организации и ИП могут применять особый порядок уплаты налогов – единый налоговый платеж. В каком случае этим правом необходимо воспользоваться? Как перейти на уплату ЕНП и какие уведомления подать в инспекцию. В счет каких платежей и в какой очередности зачитывается единый платеж и можно ли его вернуть?</w:t>
      </w:r>
    </w:p>
    <w:p w:rsidR="00000000" w:rsidDel="00000000" w:rsidP="00000000" w:rsidRDefault="00000000" w:rsidRPr="00000000" w14:paraId="00000006">
      <w:pPr>
        <w:pStyle w:val="Heading1"/>
        <w:ind w:left="720" w:firstLine="0"/>
        <w:rPr>
          <w:rFonts w:ascii="Times New Roman" w:cs="Times New Roman" w:eastAsia="Times New Roman" w:hAnsi="Times New Roman"/>
          <w:b w:val="1"/>
          <w:sz w:val="36"/>
          <w:szCs w:val="36"/>
        </w:rPr>
      </w:pPr>
      <w:bookmarkStart w:colFirst="0" w:colLast="0" w:name="_mo4nylycwjbt" w:id="2"/>
      <w:bookmarkEnd w:id="2"/>
      <w:r w:rsidDel="00000000" w:rsidR="00000000" w:rsidRPr="00000000">
        <w:rPr>
          <w:rFonts w:ascii="Times New Roman" w:cs="Times New Roman" w:eastAsia="Times New Roman" w:hAnsi="Times New Roman"/>
          <w:b w:val="1"/>
          <w:sz w:val="36"/>
          <w:szCs w:val="36"/>
          <w:rtl w:val="0"/>
        </w:rPr>
        <w:t xml:space="preserve">2. Галина Геннадьевна К.</w:t>
      </w:r>
    </w:p>
    <w:p w:rsidR="00000000" w:rsidDel="00000000" w:rsidP="00000000" w:rsidRDefault="00000000" w:rsidRPr="00000000" w14:paraId="00000007">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9900ff"/>
          <w:sz w:val="36"/>
          <w:szCs w:val="36"/>
          <w:highlight w:val="white"/>
          <w:rtl w:val="0"/>
        </w:rPr>
        <w:t xml:space="preserve">ВАСИЛЬЕВА</w:t>
      </w:r>
      <w:r w:rsidDel="00000000" w:rsidR="00000000" w:rsidRPr="00000000">
        <w:rPr>
          <w:rtl w:val="0"/>
        </w:rPr>
      </w:r>
    </w:p>
    <w:p w:rsidR="00000000" w:rsidDel="00000000" w:rsidP="00000000" w:rsidRDefault="00000000" w:rsidRPr="00000000" w14:paraId="00000008">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 нас работает удалённо финансовый консультант из Киргизии по договору возмездного оказания услуг. Она приедет в Москву в интересах нашей организации. Может ли наша организация оплатить или возместить ей авиабилеты, гостиницу и питание в Москве? Нужно ли составить доп. соглашение к договору возмездного оказания услуг на компенсацию расходов на данную поездку в Москву? Какие расходы мы имеем право компенсировать или оплатить?</w:t>
      </w:r>
    </w:p>
    <w:p w:rsidR="00000000" w:rsidDel="00000000" w:rsidP="00000000" w:rsidRDefault="00000000" w:rsidRPr="00000000" w14:paraId="00000009">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она сама купит авиабилеты за киргизские сомы, то можно ли компенсировать стоимость авиабилетов по курсу ЦБ РФ на дату покупки в рублях?</w:t>
      </w:r>
    </w:p>
    <w:p w:rsidR="00000000" w:rsidDel="00000000" w:rsidP="00000000" w:rsidRDefault="00000000" w:rsidRPr="00000000" w14:paraId="0000000A">
      <w:pPr>
        <w:shd w:fill="ffffff" w:val="clear"/>
        <w:ind w:firstLine="566.9291338582675"/>
        <w:jc w:val="both"/>
        <w:rPr>
          <w:rFonts w:ascii="Times New Roman" w:cs="Times New Roman" w:eastAsia="Times New Roman" w:hAnsi="Times New Roman"/>
          <w:color w:val="2c2d2e"/>
          <w:sz w:val="36"/>
          <w:szCs w:val="36"/>
        </w:rPr>
      </w:pPr>
      <w:r w:rsidDel="00000000" w:rsidR="00000000" w:rsidRPr="00000000">
        <w:rPr>
          <w:rtl w:val="0"/>
        </w:rPr>
      </w:r>
    </w:p>
    <w:p w:rsidR="00000000" w:rsidDel="00000000" w:rsidP="00000000" w:rsidRDefault="00000000" w:rsidRPr="00000000" w14:paraId="0000000B">
      <w:pPr>
        <w:shd w:fill="ffffff" w:val="clear"/>
        <w:spacing w:after="220" w:lineRule="auto"/>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0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0D">
      <w:pPr>
        <w:pStyle w:val="Heading1"/>
        <w:shd w:fill="ffffff" w:val="clear"/>
        <w:spacing w:after="220" w:lineRule="auto"/>
        <w:ind w:firstLine="720"/>
        <w:jc w:val="both"/>
        <w:rPr>
          <w:rFonts w:ascii="Times New Roman" w:cs="Times New Roman" w:eastAsia="Times New Roman" w:hAnsi="Times New Roman"/>
          <w:b w:val="1"/>
          <w:sz w:val="36"/>
          <w:szCs w:val="36"/>
        </w:rPr>
      </w:pPr>
      <w:bookmarkStart w:colFirst="0" w:colLast="0" w:name="_pfmf43pjnfg" w:id="3"/>
      <w:bookmarkEnd w:id="3"/>
      <w:r w:rsidDel="00000000" w:rsidR="00000000" w:rsidRPr="00000000">
        <w:rPr>
          <w:rFonts w:ascii="Times New Roman" w:cs="Times New Roman" w:eastAsia="Times New Roman" w:hAnsi="Times New Roman"/>
          <w:b w:val="1"/>
          <w:sz w:val="36"/>
          <w:szCs w:val="36"/>
          <w:rtl w:val="0"/>
        </w:rPr>
        <w:t xml:space="preserve">3. Елена Сергеевна К.</w:t>
      </w:r>
    </w:p>
    <w:p w:rsidR="00000000" w:rsidDel="00000000" w:rsidP="00000000" w:rsidRDefault="00000000" w:rsidRPr="00000000" w14:paraId="0000000E">
      <w:pPr>
        <w:shd w:fill="ffffff" w:val="clear"/>
        <w:spacing w:line="240" w:lineRule="auto"/>
        <w:ind w:firstLine="720"/>
        <w:jc w:val="both"/>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F">
      <w:pPr>
        <w:shd w:fill="ffffff" w:val="clear"/>
        <w:spacing w:after="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АНО (ОКВЭД 72.19, систему налогообложения УСН 6% «Доходы») основная деятельность которой,  организация и проведение вебинаров для фармкомпаний, планирует провести выездной семинар. АНО будет оплачивать  проживания, проезда участников (сотрудники фармкомпаний)  к месту проведения мероприятия. </w:t>
      </w:r>
    </w:p>
    <w:p w:rsidR="00000000" w:rsidDel="00000000" w:rsidP="00000000" w:rsidRDefault="00000000" w:rsidRPr="00000000" w14:paraId="00000010">
      <w:pPr>
        <w:shd w:fill="ffffff" w:val="clear"/>
        <w:spacing w:after="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Поступление средств  на расчётный счет АНО от фармкомпаний оформляется как договоры пожертвования на уставную деятельность.</w:t>
      </w:r>
    </w:p>
    <w:p w:rsidR="00000000" w:rsidDel="00000000" w:rsidP="00000000" w:rsidRDefault="00000000" w:rsidRPr="00000000" w14:paraId="00000011">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Обязано ли АНО заключать договоры с участниками мероприятия? </w:t>
        <w:br w:type="textWrapping"/>
        <w:tab/>
        <w:t xml:space="preserve">Возможно ли использовать электронный вариант договора (скан) с участниками, без обмена оригиналами документов? Может быть можно приложить форму договора на сайт АНО, где участники регистрируются на мероприятие, ставят галочку, что ознакомлены и согласны с СОПД, и второй галочкой будет этот договор, что с ним тоже ознакомлены и согласны?</w:t>
      </w:r>
    </w:p>
    <w:p w:rsidR="00000000" w:rsidDel="00000000" w:rsidP="00000000" w:rsidRDefault="00000000" w:rsidRPr="00000000" w14:paraId="00000012">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Обязано ли АНО с сумм оплаты за проезд и проживание участников,т.к. их можно персонифицировать, выплатить НДФЛ? </w:t>
      </w:r>
    </w:p>
    <w:p w:rsidR="00000000" w:rsidDel="00000000" w:rsidP="00000000" w:rsidRDefault="00000000" w:rsidRPr="00000000" w14:paraId="00000013">
      <w:pPr>
        <w:pStyle w:val="Heading1"/>
        <w:ind w:left="720" w:firstLine="0"/>
        <w:rPr>
          <w:rFonts w:ascii="Times New Roman" w:cs="Times New Roman" w:eastAsia="Times New Roman" w:hAnsi="Times New Roman"/>
          <w:sz w:val="36"/>
          <w:szCs w:val="36"/>
          <w:highlight w:val="white"/>
        </w:rPr>
      </w:pPr>
      <w:bookmarkStart w:colFirst="0" w:colLast="0" w:name="_96msppb02805" w:id="4"/>
      <w:bookmarkEnd w:id="4"/>
      <w:r w:rsidDel="00000000" w:rsidR="00000000" w:rsidRPr="00000000">
        <w:rPr>
          <w:rFonts w:ascii="Times New Roman" w:cs="Times New Roman" w:eastAsia="Times New Roman" w:hAnsi="Times New Roman"/>
          <w:b w:val="1"/>
          <w:sz w:val="36"/>
          <w:szCs w:val="36"/>
          <w:rtl w:val="0"/>
        </w:rPr>
        <w:t xml:space="preserve">4. Марина Валерьевна М.</w:t>
      </w:r>
      <w:r w:rsidDel="00000000" w:rsidR="00000000" w:rsidRPr="00000000">
        <w:rPr>
          <w:rtl w:val="0"/>
        </w:rPr>
      </w:r>
    </w:p>
    <w:p w:rsidR="00000000" w:rsidDel="00000000" w:rsidP="00000000" w:rsidRDefault="00000000" w:rsidRPr="00000000" w14:paraId="0000001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1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Вводные сведения. Некоммерческое партнерство на Упрощенной системе налогообложения. 157 членов НП. Сменилось руководство. Ревизионная комиссия обнаружила несоответствия в бухучете за предыдущий год, но не обладает достаточной квалификацией, чтобы решить следующие вопросы.</w:t>
      </w:r>
    </w:p>
    <w:p w:rsidR="00000000" w:rsidDel="00000000" w:rsidP="00000000" w:rsidRDefault="00000000" w:rsidRPr="00000000" w14:paraId="0000001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w:t>
        <w:tab/>
        <w:t xml:space="preserve">Верно ли, что на случай выездной проверки организация должна иметь подписанные бухгалтерские документы (какие?) или достаточно базы 1С, если в Учетной политике прописано, что учёт ведется в электронном виде?</w:t>
      </w:r>
    </w:p>
    <w:p w:rsidR="00000000" w:rsidDel="00000000" w:rsidP="00000000" w:rsidRDefault="00000000" w:rsidRPr="00000000" w14:paraId="0000001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 ведении бухгалтерии на аутсорсе или по договору гражданско-правового характера кто подписывает  бухгалтерские документы? </w:t>
      </w:r>
    </w:p>
    <w:p w:rsidR="00000000" w:rsidDel="00000000" w:rsidP="00000000" w:rsidRDefault="00000000" w:rsidRPr="00000000" w14:paraId="0000001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w:t>
        <w:tab/>
        <w:t xml:space="preserve">Сменилось руководство, уволился бухгалтер. Как узнать, была ли ЭЦП у бухгалтера (работал по Договору ГПХ)? Разная информация от бывшего председателя на этот счет. Насколько опасно не отозвать доверенность на ЭЦП ?</w:t>
      </w:r>
    </w:p>
    <w:p w:rsidR="00000000" w:rsidDel="00000000" w:rsidP="00000000" w:rsidRDefault="00000000" w:rsidRPr="00000000" w14:paraId="0000001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w:t>
        <w:tab/>
        <w:t xml:space="preserve">Спорные моменты организации бухгалтерского учета в предыдущие годы:</w:t>
      </w:r>
    </w:p>
    <w:p w:rsidR="00000000" w:rsidDel="00000000" w:rsidP="00000000" w:rsidRDefault="00000000" w:rsidRPr="00000000" w14:paraId="0000001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В старой Учетной политике (до 2020 г.)  было написано: </w:t>
      </w:r>
    </w:p>
    <w:p w:rsidR="00000000" w:rsidDel="00000000" w:rsidP="00000000" w:rsidRDefault="00000000" w:rsidRPr="00000000" w14:paraId="0000001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«Учет поступления средств целевого финансирования ведётся следующим порядком:</w:t>
      </w:r>
    </w:p>
    <w:p w:rsidR="00000000" w:rsidDel="00000000" w:rsidP="00000000" w:rsidRDefault="00000000" w:rsidRPr="00000000" w14:paraId="0000001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вначале отражается задолженность по суммам, которые должны быть получены (по поступлению достоверной информации о том, что необходимые средства будут выделены и получены: по решению Общего собрания членов Партнёрства), при этом дебетуется счет 76 «Расчеты с разными дебиторами и кредиторами» и кредитуется счет 86;</w:t>
      </w:r>
    </w:p>
    <w:p w:rsidR="00000000" w:rsidDel="00000000" w:rsidP="00000000" w:rsidRDefault="00000000" w:rsidRPr="00000000" w14:paraId="0000001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после фактического получения денежных средств или иного имущества – дебетуются счета учета активов и кредитуется счет 76.</w:t>
      </w:r>
    </w:p>
    <w:p w:rsidR="00000000" w:rsidDel="00000000" w:rsidP="00000000" w:rsidRDefault="00000000" w:rsidRPr="00000000" w14:paraId="0000001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Таким образом, вступительные, членские и целевые взносы отражаются в бухгалтерском учете на счете 86 «Целевое финансирование» методом начисления»</w:t>
      </w:r>
    </w:p>
    <w:p w:rsidR="00000000" w:rsidDel="00000000" w:rsidP="00000000" w:rsidRDefault="00000000" w:rsidRPr="00000000" w14:paraId="0000001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 этом некоторые члены НП, сведущие в бухучете, критиковали бухгалтера 2017-2020 гг. за такую учетную политику, считая этот учет неверным из-за :</w:t>
      </w:r>
    </w:p>
    <w:p w:rsidR="00000000" w:rsidDel="00000000" w:rsidP="00000000" w:rsidRDefault="00000000" w:rsidRPr="00000000" w14:paraId="0000002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УСНО, при которой метод начисления не применяется (по их словам даже к Неналогооблагаемой базе), </w:t>
      </w:r>
    </w:p>
    <w:p w:rsidR="00000000" w:rsidDel="00000000" w:rsidP="00000000" w:rsidRDefault="00000000" w:rsidRPr="00000000" w14:paraId="0000002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 отражения по кредиту 86 счета задолженности членских и целевых взносов (пофамильная задолженность на 86 счете оценивалась ими как неверное  ведение учета), </w:t>
      </w:r>
    </w:p>
    <w:p w:rsidR="00000000" w:rsidDel="00000000" w:rsidP="00000000" w:rsidRDefault="00000000" w:rsidRPr="00000000" w14:paraId="0000002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наличия в балансе показателей по целевому финансированию, не соответствующих фактически полученным средствам (из-за нарушения дисциплины уплаты ЧВ и ЦВ членами НП). Сейчас это почти 2 млн.руб.</w:t>
      </w:r>
    </w:p>
    <w:p w:rsidR="00000000" w:rsidDel="00000000" w:rsidP="00000000" w:rsidRDefault="00000000" w:rsidRPr="00000000" w14:paraId="0000002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Ожидалось, что в 2021 г. с этой ситуацией новое руководство и новый бухгалтер разберутся. Но в новой Учетной политике записан точно такой же (!) порядок учета ЧВ и ЦВ, а при этом по факту начисления задолженности на 76 счет не было. Учитывались только фактически поступавшие взносы, т.е. использовался кассовый метод.  </w:t>
      </w:r>
    </w:p>
    <w:p w:rsidR="00000000" w:rsidDel="00000000" w:rsidP="00000000" w:rsidRDefault="00000000" w:rsidRPr="00000000" w14:paraId="0000002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Какой порядок учета верный, и что делать с несоответствием учета учетной политике в 2021 г.?</w:t>
      </w:r>
    </w:p>
    <w:p w:rsidR="00000000" w:rsidDel="00000000" w:rsidP="00000000" w:rsidRDefault="00000000" w:rsidRPr="00000000" w14:paraId="0000002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Предыдущим бухгалтером в соответствии с п.2 ст. 251 НК РФ велся раздельный учет доходов/расходов по коммерческой и некоммерческой деятельности, но он не был описан в Учетной политике, только отражен в плане счетов. </w:t>
      </w:r>
    </w:p>
    <w:p w:rsidR="00000000" w:rsidDel="00000000" w:rsidP="00000000" w:rsidRDefault="00000000" w:rsidRPr="00000000" w14:paraId="0000002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Так, целевые поступления учитывались выше описанным образом, а поступления по коммерческой деятельности  учитывались на счете 62. В конце года заключительными годовыми проводками чистая прибыль относилась  на кредит 86 счета. (п.24  ПЗ – 1/2015 «Об особенностях формирования бухгалтерской (финансовой) отчетности некоммерческих организаций»)  в корреспонденции со счетом 99.</w:t>
      </w:r>
    </w:p>
    <w:p w:rsidR="00000000" w:rsidDel="00000000" w:rsidP="00000000" w:rsidRDefault="00000000" w:rsidRPr="00000000" w14:paraId="0000002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в новой Учетной политике нет плана счетов, и отсутствуют данные о раздельном учете доходов/расходов по коммерческой и некоммерческой деятельности.  Написано следующее:</w:t>
      </w:r>
    </w:p>
    <w:p w:rsidR="00000000" w:rsidDel="00000000" w:rsidP="00000000" w:rsidRDefault="00000000" w:rsidRPr="00000000" w14:paraId="0000002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«Доход, начисленный по договорам купли-продажи объектов недвижимости (земельных участков) на условиях отсрочки оплаты (ипотека), учитывается по кредиту счета 86.02 «Доходы от предпринимательской деятельности» в корреспонденции с дебетом счета 76 «Расчеты с разными кредиторами и дебиторами».»</w:t>
      </w:r>
    </w:p>
    <w:p w:rsidR="00000000" w:rsidDel="00000000" w:rsidP="00000000" w:rsidRDefault="00000000" w:rsidRPr="00000000" w14:paraId="0000002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Т.е., учет и целевых поступлений, и доходов от коммерческой деятельности велся по дебету счета 76 и кредиту 86.</w:t>
      </w:r>
    </w:p>
    <w:p w:rsidR="00000000" w:rsidDel="00000000" w:rsidP="00000000" w:rsidRDefault="00000000" w:rsidRPr="00000000" w14:paraId="0000002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Из оборотно-сальдовых ведомостей видно, что обороты по счету 99 отсутствуют.  А в оборотах по 86 счету значится «Доходы от предпринимательской деятельности организации».  </w:t>
      </w:r>
    </w:p>
    <w:p w:rsidR="00000000" w:rsidDel="00000000" w:rsidP="00000000" w:rsidRDefault="00000000" w:rsidRPr="00000000" w14:paraId="0000002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насколько критично это, и что делать для исправления ситуации? Ведь в соответствии с пп.14 п.1 ст.251 НК РФ при отсутствии раздельного учета все доходы по некоммерческой деятельности становятся налогооблагаемой базой.</w:t>
      </w:r>
    </w:p>
    <w:p w:rsidR="00000000" w:rsidDel="00000000" w:rsidP="00000000" w:rsidRDefault="00000000" w:rsidRPr="00000000" w14:paraId="0000002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В прежней Учетной политике было написано:</w:t>
      </w:r>
    </w:p>
    <w:p w:rsidR="00000000" w:rsidDel="00000000" w:rsidP="00000000" w:rsidRDefault="00000000" w:rsidRPr="00000000" w14:paraId="0000002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«Расходование целевых средств учитывается по дебету счета 26 «Общехозяйственные расходы». В конце каждого года счет 26 «Общехозяйственные расходы» закрывается и собранные на нем расходы списываются на дебет соответствующих субсчетов счета 86 «Целевое финансирование».»</w:t>
      </w:r>
    </w:p>
    <w:p w:rsidR="00000000" w:rsidDel="00000000" w:rsidP="00000000" w:rsidRDefault="00000000" w:rsidRPr="00000000" w14:paraId="0000002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 этом в плане счетов были указаны субсчета 26.1 и 26.2  - один для учета расходов по некоммерческой деятельности, другой – для учета расходов по коммерческой деятельности.</w:t>
      </w:r>
    </w:p>
    <w:p w:rsidR="00000000" w:rsidDel="00000000" w:rsidP="00000000" w:rsidRDefault="00000000" w:rsidRPr="00000000" w14:paraId="0000002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новой Учетной политике вообще отсутствует план счетов, а расходы учитывались следующим образом:</w:t>
      </w:r>
    </w:p>
    <w:p w:rsidR="00000000" w:rsidDel="00000000" w:rsidP="00000000" w:rsidRDefault="00000000" w:rsidRPr="00000000" w14:paraId="0000003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«Расходование целевых средств учитывается по дебету счета 86 «Целевое финансирование» согласно перечню движения целевых средств утвержденному пятым разделом Информации Минфина РФ «Об особенностях формирования бухгалтерской (финансовой) отчетности некоммерческих организаций (ПЗ-1/2015)».</w:t>
      </w:r>
    </w:p>
    <w:p w:rsidR="00000000" w:rsidDel="00000000" w:rsidP="00000000" w:rsidRDefault="00000000" w:rsidRPr="00000000" w14:paraId="0000003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насколько критично это, и что делать для исправления ситуации? Ведь в соответствии с пп.14 п.1 ст. 251 НК РФ при отсутствии раздельного учета все доходы по некоммерческой деятельности становятся налогооблагаемой базой.</w:t>
      </w:r>
    </w:p>
    <w:p w:rsidR="00000000" w:rsidDel="00000000" w:rsidP="00000000" w:rsidRDefault="00000000" w:rsidRPr="00000000" w14:paraId="0000003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В представленной ревизионной комиссии оборотно-сальдовой ведомости по счету 76.06  имеются опечатки и ошибки в фамилиях членов НП, оплативших членские взносы.</w:t>
      </w:r>
    </w:p>
    <w:p w:rsidR="00000000" w:rsidDel="00000000" w:rsidP="00000000" w:rsidRDefault="00000000" w:rsidRPr="00000000" w14:paraId="0000003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Допустимо ли задним числом внести поправки в базу 1С? Или это вообще не важно, если мы можем внутри организации идентифицировать, кто оплатил взносы?</w:t>
      </w:r>
    </w:p>
    <w:p w:rsidR="00000000" w:rsidDel="00000000" w:rsidP="00000000" w:rsidRDefault="00000000" w:rsidRPr="00000000" w14:paraId="0000003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5.</w:t>
        <w:tab/>
        <w:t xml:space="preserve">Из-за того, что предыдущий бухгалтер не обновляла базу с 2012 г.,  в базе отсутствует разделение по графам данных о кадастровых номерах и площади земельных участков, принадлежащих организации, что не позволяет автоматически считать земельный налог.</w:t>
      </w:r>
    </w:p>
    <w:p w:rsidR="00000000" w:rsidDel="00000000" w:rsidP="00000000" w:rsidRDefault="00000000" w:rsidRPr="00000000" w14:paraId="0000003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ВОПРОС:Что нужно сделать, чтобы разнести данные по разным графам? </w:t>
      </w:r>
    </w:p>
    <w:p w:rsidR="00000000" w:rsidDel="00000000" w:rsidP="00000000" w:rsidRDefault="00000000" w:rsidRPr="00000000" w14:paraId="0000003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8">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B">
      <w:pPr>
        <w:shd w:fill="ffffff" w:val="clear"/>
        <w:ind w:firstLine="566.9291338582675"/>
        <w:jc w:val="both"/>
        <w:rPr>
          <w:rFonts w:ascii="Times New Roman" w:cs="Times New Roman" w:eastAsia="Times New Roman" w:hAnsi="Times New Roman"/>
          <w:color w:val="2c2d2e"/>
          <w:sz w:val="36"/>
          <w:szCs w:val="36"/>
        </w:rPr>
      </w:pPr>
      <w:r w:rsidDel="00000000" w:rsidR="00000000" w:rsidRPr="00000000">
        <w:rPr>
          <w:rtl w:val="0"/>
        </w:rPr>
      </w:r>
    </w:p>
    <w:p w:rsidR="00000000" w:rsidDel="00000000" w:rsidP="00000000" w:rsidRDefault="00000000" w:rsidRPr="00000000" w14:paraId="0000003C">
      <w:pPr>
        <w:pStyle w:val="Heading1"/>
        <w:shd w:fill="ffffff" w:val="clear"/>
        <w:ind w:left="0" w:firstLine="720"/>
        <w:jc w:val="both"/>
        <w:rPr>
          <w:rFonts w:ascii="Times New Roman" w:cs="Times New Roman" w:eastAsia="Times New Roman" w:hAnsi="Times New Roman"/>
          <w:b w:val="1"/>
          <w:sz w:val="36"/>
          <w:szCs w:val="36"/>
        </w:rPr>
      </w:pPr>
      <w:bookmarkStart w:colFirst="0" w:colLast="0" w:name="_cvly8u5yokzd" w:id="5"/>
      <w:bookmarkEnd w:id="5"/>
      <w:r w:rsidDel="00000000" w:rsidR="00000000" w:rsidRPr="00000000">
        <w:rPr>
          <w:rFonts w:ascii="Times New Roman" w:cs="Times New Roman" w:eastAsia="Times New Roman" w:hAnsi="Times New Roman"/>
          <w:b w:val="1"/>
          <w:sz w:val="36"/>
          <w:szCs w:val="36"/>
          <w:rtl w:val="0"/>
        </w:rPr>
        <w:t xml:space="preserve">5</w:t>
      </w:r>
      <w:r w:rsidDel="00000000" w:rsidR="00000000" w:rsidRPr="00000000">
        <w:rPr>
          <w:rFonts w:ascii="Times New Roman" w:cs="Times New Roman" w:eastAsia="Times New Roman" w:hAnsi="Times New Roman"/>
          <w:b w:val="1"/>
          <w:sz w:val="36"/>
          <w:szCs w:val="36"/>
          <w:rtl w:val="0"/>
        </w:rPr>
        <w:t xml:space="preserve">. Нина Георгиевна П.</w:t>
      </w:r>
    </w:p>
    <w:p w:rsidR="00000000" w:rsidDel="00000000" w:rsidP="00000000" w:rsidRDefault="00000000" w:rsidRPr="00000000" w14:paraId="0000003D">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9900ff"/>
          <w:sz w:val="36"/>
          <w:szCs w:val="36"/>
          <w:highlight w:val="white"/>
          <w:rtl w:val="0"/>
        </w:rPr>
        <w:t xml:space="preserve">ВАСИЛЬЕВА</w:t>
      </w:r>
      <w:r w:rsidDel="00000000" w:rsidR="00000000" w:rsidRPr="00000000">
        <w:rPr>
          <w:rtl w:val="0"/>
        </w:rPr>
      </w:r>
    </w:p>
    <w:p w:rsidR="00000000" w:rsidDel="00000000" w:rsidP="00000000" w:rsidRDefault="00000000" w:rsidRPr="00000000" w14:paraId="0000003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Религиозная организация арендует помещение для приема бездомных людей и оказания им помощи. Арендодателю мы платим не только арендную плату, но компенсируем затраты за коммунальные услуги, затраты по электроэнергии, по связи. Оплачиваем  по счетам, которые выставляет нам арендодатель. К сожалению, счета выставляются нерегулярно, недавно получили счет на оплату связи за октябрь 2021 г. Конечно, нужно оформить доп. соглашение, регулирующее сроки оплаты такого рода услуг, но,  если до сих пор это сделать не удалось, как быть с оплатой связи за октябрь 2021 г., счет на который получили сейчас?</w:t>
      </w:r>
    </w:p>
    <w:p w:rsidR="00000000" w:rsidDel="00000000" w:rsidP="00000000" w:rsidRDefault="00000000" w:rsidRPr="00000000" w14:paraId="0000003F">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ry1npytoacnf" w:id="6"/>
      <w:bookmarkEnd w:id="6"/>
      <w:r w:rsidDel="00000000" w:rsidR="00000000" w:rsidRPr="00000000">
        <w:rPr>
          <w:rFonts w:ascii="Times New Roman" w:cs="Times New Roman" w:eastAsia="Times New Roman" w:hAnsi="Times New Roman"/>
          <w:b w:val="1"/>
          <w:sz w:val="36"/>
          <w:szCs w:val="36"/>
          <w:rtl w:val="0"/>
        </w:rPr>
        <w:t xml:space="preserve">6. Юлия Вадимовна А.</w:t>
      </w:r>
    </w:p>
    <w:p w:rsidR="00000000" w:rsidDel="00000000" w:rsidP="00000000" w:rsidRDefault="00000000" w:rsidRPr="00000000" w14:paraId="00000040">
      <w:pPr>
        <w:shd w:fill="ffffff" w:val="clear"/>
        <w:spacing w:after="220" w:before="220" w:lineRule="auto"/>
        <w:ind w:firstLine="566.9291338582675"/>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41">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феврале 2022 год Фонд передал товары по договору пожертвования Благополучателю: мебель, телевизоры, холодильники.</w:t>
      </w:r>
    </w:p>
    <w:p w:rsidR="00000000" w:rsidDel="00000000" w:rsidP="00000000" w:rsidRDefault="00000000" w:rsidRPr="00000000" w14:paraId="00000042">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Холодильники входят в перечень товаров, подлежащих прослеживаемости. Передача товаров оформлена договором пожертвования и актом приема передачи. Фонд применяет УСН.</w:t>
      </w:r>
    </w:p>
    <w:p w:rsidR="00000000" w:rsidDel="00000000" w:rsidP="00000000" w:rsidRDefault="00000000" w:rsidRPr="00000000" w14:paraId="00000043">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Так как холодильники Фонд приобрел в 2020 году, когда не действовала система прослеживаемости на территории РФ, то была проведена инвентаризация остатков товаров на 01 января 2022 г.</w:t>
      </w:r>
    </w:p>
    <w:p w:rsidR="00000000" w:rsidDel="00000000" w:rsidP="00000000" w:rsidRDefault="00000000" w:rsidRPr="00000000" w14:paraId="00000044">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ИФНС направлено уведомление об имеющихся остатках товаров, подлежащих прослеживаемости.</w:t>
      </w:r>
    </w:p>
    <w:p w:rsidR="00000000" w:rsidDel="00000000" w:rsidP="00000000" w:rsidRDefault="00000000" w:rsidRPr="00000000" w14:paraId="00000045">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ИФНС направило в адрес Фонда уведомление о присвоении РНПТ для товара – холодильники.</w:t>
      </w:r>
    </w:p>
    <w:p w:rsidR="00000000" w:rsidDel="00000000" w:rsidP="00000000" w:rsidRDefault="00000000" w:rsidRPr="00000000" w14:paraId="00000046">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w:t>
      </w:r>
    </w:p>
    <w:p w:rsidR="00000000" w:rsidDel="00000000" w:rsidP="00000000" w:rsidRDefault="00000000" w:rsidRPr="00000000" w14:paraId="00000047">
      <w:pPr>
        <w:shd w:fill="ffffff" w:val="clear"/>
        <w:spacing w:after="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Возникает ли обязанность в 1 кв 2022 г. у Фонда отправить по ЭДО счёт-фактуру Благополучателю с перечнем всех переданных товаров по договору пожертвования, с указанием РНПТ только у одного товара – холодильники?</w:t>
      </w:r>
    </w:p>
    <w:p w:rsidR="00000000" w:rsidDel="00000000" w:rsidP="00000000" w:rsidRDefault="00000000" w:rsidRPr="00000000" w14:paraId="00000048">
      <w:pPr>
        <w:shd w:fill="ffffff" w:val="clear"/>
        <w:spacing w:after="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Должен ли Фонд до 25 апреля направить за 1 кв. 2022 год отчет в ИФНС – отчет об операциях с товарами, подлежащими прослеживаемости?</w:t>
      </w:r>
    </w:p>
    <w:p w:rsidR="00000000" w:rsidDel="00000000" w:rsidP="00000000" w:rsidRDefault="00000000" w:rsidRPr="00000000" w14:paraId="00000049">
      <w:pPr>
        <w:shd w:fill="ffffff" w:val="clear"/>
        <w:spacing w:after="22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A">
      <w:pPr>
        <w:pStyle w:val="Heading1"/>
        <w:ind w:left="0" w:firstLine="720"/>
        <w:rPr>
          <w:rFonts w:ascii="Times New Roman" w:cs="Times New Roman" w:eastAsia="Times New Roman" w:hAnsi="Times New Roman"/>
          <w:b w:val="1"/>
          <w:sz w:val="36"/>
          <w:szCs w:val="36"/>
        </w:rPr>
      </w:pPr>
      <w:bookmarkStart w:colFirst="0" w:colLast="0" w:name="_yean8fcb0cor" w:id="7"/>
      <w:bookmarkEnd w:id="7"/>
      <w:r w:rsidDel="00000000" w:rsidR="00000000" w:rsidRPr="00000000">
        <w:rPr>
          <w:rtl w:val="0"/>
        </w:rPr>
      </w:r>
    </w:p>
    <w:p w:rsidR="00000000" w:rsidDel="00000000" w:rsidP="00000000" w:rsidRDefault="00000000" w:rsidRPr="00000000" w14:paraId="0000004B">
      <w:pPr>
        <w:pStyle w:val="Heading1"/>
        <w:ind w:left="0" w:firstLine="720"/>
        <w:rPr>
          <w:rFonts w:ascii="Times New Roman" w:cs="Times New Roman" w:eastAsia="Times New Roman" w:hAnsi="Times New Roman"/>
          <w:b w:val="1"/>
          <w:sz w:val="36"/>
          <w:szCs w:val="36"/>
        </w:rPr>
      </w:pPr>
      <w:bookmarkStart w:colFirst="0" w:colLast="0" w:name="_gumm5i7xpdev" w:id="8"/>
      <w:bookmarkEnd w:id="8"/>
      <w:r w:rsidDel="00000000" w:rsidR="00000000" w:rsidRPr="00000000">
        <w:rPr>
          <w:rFonts w:ascii="Times New Roman" w:cs="Times New Roman" w:eastAsia="Times New Roman" w:hAnsi="Times New Roman"/>
          <w:b w:val="1"/>
          <w:sz w:val="36"/>
          <w:szCs w:val="36"/>
          <w:rtl w:val="0"/>
        </w:rPr>
        <w:t xml:space="preserve">7. Татьяна Игоревна Ш.</w:t>
      </w:r>
    </w:p>
    <w:p w:rsidR="00000000" w:rsidDel="00000000" w:rsidP="00000000" w:rsidRDefault="00000000" w:rsidRPr="00000000" w14:paraId="0000004C">
      <w:pPr>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4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Общественная организация на УСН является с 15 декабря 2021 года учредителем АНО 100%. 27 декабря 2021 г. в ИФНС подали уведомление о при УСН в АНО. АНО является  учебным центром профессионального образования.</w:t>
      </w:r>
    </w:p>
    <w:p w:rsidR="00000000" w:rsidDel="00000000" w:rsidP="00000000" w:rsidRDefault="00000000" w:rsidRPr="00000000" w14:paraId="0000004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Согласно НК  РФ не вправе применять УСН организации, в которых доля участия других организаций составляет более 25%.</w:t>
      </w:r>
    </w:p>
    <w:p w:rsidR="00000000" w:rsidDel="00000000" w:rsidP="00000000" w:rsidRDefault="00000000" w:rsidRPr="00000000" w14:paraId="0000004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w:t>
      </w:r>
    </w:p>
    <w:p w:rsidR="00000000" w:rsidDel="00000000" w:rsidP="00000000" w:rsidRDefault="00000000" w:rsidRPr="00000000" w14:paraId="0000005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применимо это для НКО и АНО в данном случае может применять УСН?</w:t>
      </w:r>
    </w:p>
    <w:p w:rsidR="00000000" w:rsidDel="00000000" w:rsidP="00000000" w:rsidRDefault="00000000" w:rsidRPr="00000000" w14:paraId="0000005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 Общественной организации обнаружила, что предыдущий бухгалтер не отразила в бухучете дебиторскую задолженность по членским взносам за 2021 год, т.к. они вообще не поступали. А также не отражен резерв по отпускам, есть начисления по счету 96 только в 1 квартале 2021 года.</w:t>
      </w:r>
    </w:p>
    <w:p w:rsidR="00000000" w:rsidDel="00000000" w:rsidP="00000000" w:rsidRDefault="00000000" w:rsidRPr="00000000" w14:paraId="0000005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Вопрос - Нужно ли внести корректировки в бухучет и пересдать бухгалтерский баланс? Как правильно?</w:t>
      </w:r>
    </w:p>
    <w:p w:rsidR="00000000" w:rsidDel="00000000" w:rsidP="00000000" w:rsidRDefault="00000000" w:rsidRPr="00000000" w14:paraId="00000053">
      <w:pPr>
        <w:pStyle w:val="Heading1"/>
        <w:ind w:left="720" w:firstLine="0"/>
        <w:rPr>
          <w:rFonts w:ascii="Times New Roman" w:cs="Times New Roman" w:eastAsia="Times New Roman" w:hAnsi="Times New Roman"/>
          <w:sz w:val="36"/>
          <w:szCs w:val="36"/>
          <w:highlight w:val="white"/>
        </w:rPr>
      </w:pPr>
      <w:bookmarkStart w:colFirst="0" w:colLast="0" w:name="_fv3o19indkdw" w:id="9"/>
      <w:bookmarkEnd w:id="9"/>
      <w:r w:rsidDel="00000000" w:rsidR="00000000" w:rsidRPr="00000000">
        <w:rPr>
          <w:rFonts w:ascii="Times New Roman" w:cs="Times New Roman" w:eastAsia="Times New Roman" w:hAnsi="Times New Roman"/>
          <w:b w:val="1"/>
          <w:sz w:val="36"/>
          <w:szCs w:val="36"/>
          <w:rtl w:val="0"/>
        </w:rPr>
        <w:t xml:space="preserve">8. Елена Д.</w:t>
      </w:r>
      <w:r w:rsidDel="00000000" w:rsidR="00000000" w:rsidRPr="00000000">
        <w:rPr>
          <w:rtl w:val="0"/>
        </w:rPr>
      </w:r>
    </w:p>
    <w:p w:rsidR="00000000" w:rsidDel="00000000" w:rsidP="00000000" w:rsidRDefault="00000000" w:rsidRPr="00000000" w14:paraId="00000054">
      <w:pPr>
        <w:pStyle w:val="Heading1"/>
        <w:ind w:firstLine="720"/>
        <w:jc w:val="both"/>
        <w:rPr>
          <w:rFonts w:ascii="Times New Roman" w:cs="Times New Roman" w:eastAsia="Times New Roman" w:hAnsi="Times New Roman"/>
          <w:sz w:val="36"/>
          <w:szCs w:val="36"/>
          <w:highlight w:val="white"/>
        </w:rPr>
      </w:pPr>
      <w:bookmarkStart w:colFirst="0" w:colLast="0" w:name="_r3x6gbtelp1w" w:id="10"/>
      <w:bookmarkEnd w:id="10"/>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5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Ассоциация. Источник поступления – вступительные и членские взносы. </w:t>
      </w:r>
    </w:p>
    <w:p w:rsidR="00000000" w:rsidDel="00000000" w:rsidP="00000000" w:rsidRDefault="00000000" w:rsidRPr="00000000" w14:paraId="0000005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Цель по уставу: координация деятельности членов, работа которых связана с проведение проектной экспертизы</w:t>
      </w:r>
    </w:p>
    <w:p w:rsidR="00000000" w:rsidDel="00000000" w:rsidP="00000000" w:rsidRDefault="00000000" w:rsidRPr="00000000" w14:paraId="0000005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Предмет деятельности по уставу:</w:t>
      </w:r>
    </w:p>
    <w:p w:rsidR="00000000" w:rsidDel="00000000" w:rsidP="00000000" w:rsidRDefault="00000000" w:rsidRPr="00000000" w14:paraId="0000005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представление и защита интересов членов в отношениях с третьими лицами в госорганах, коммерческих структурах.</w:t>
      </w:r>
    </w:p>
    <w:p w:rsidR="00000000" w:rsidDel="00000000" w:rsidP="00000000" w:rsidRDefault="00000000" w:rsidRPr="00000000" w14:paraId="0000005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деятельность, направленная на професс.консолидацию, укрепление и развитие професс.связей членов</w:t>
      </w:r>
    </w:p>
    <w:p w:rsidR="00000000" w:rsidDel="00000000" w:rsidP="00000000" w:rsidRDefault="00000000" w:rsidRPr="00000000" w14:paraId="0000005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ведение баз данных информации в отрасли. Накопление, систематизация и использование информационных фондов.</w:t>
      </w:r>
    </w:p>
    <w:p w:rsidR="00000000" w:rsidDel="00000000" w:rsidP="00000000" w:rsidRDefault="00000000" w:rsidRPr="00000000" w14:paraId="0000005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проведение семинаров, конференций по направлению профессиональной деятельности членов</w:t>
      </w:r>
    </w:p>
    <w:p w:rsidR="00000000" w:rsidDel="00000000" w:rsidP="00000000" w:rsidRDefault="00000000" w:rsidRPr="00000000" w14:paraId="0000005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оказание безвозмездных информационно-справочных услуг членам.</w:t>
      </w:r>
    </w:p>
    <w:p w:rsidR="00000000" w:rsidDel="00000000" w:rsidP="00000000" w:rsidRDefault="00000000" w:rsidRPr="00000000" w14:paraId="0000005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1.</w:t>
      </w:r>
    </w:p>
    <w:p w:rsidR="00000000" w:rsidDel="00000000" w:rsidP="00000000" w:rsidRDefault="00000000" w:rsidRPr="00000000" w14:paraId="0000005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Пожертвование. Планируется заключение договора пожертвования. Цель пожертвования – на ведение уставной деятельности согласно Устава. Деньги будут расходоваться на содержание аппарата (заработная плата, аренда офиса, уплата страховых взносов). Возможна ли такая формулировка в договоре?</w:t>
      </w:r>
    </w:p>
    <w:p w:rsidR="00000000" w:rsidDel="00000000" w:rsidP="00000000" w:rsidRDefault="00000000" w:rsidRPr="00000000" w14:paraId="0000005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2. </w:t>
      </w:r>
    </w:p>
    <w:p w:rsidR="00000000" w:rsidDel="00000000" w:rsidP="00000000" w:rsidRDefault="00000000" w:rsidRPr="00000000" w14:paraId="0000006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Ведение предпринимательской деятельности. В случае, если Ассоциация примет решение вести предпринимательскую деятельность, насколько конкретизированно  нужно расписывать такую деятельность в уставе?</w:t>
      </w:r>
    </w:p>
    <w:p w:rsidR="00000000" w:rsidDel="00000000" w:rsidP="00000000" w:rsidRDefault="00000000" w:rsidRPr="00000000" w14:paraId="0000006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3. </w:t>
      </w:r>
    </w:p>
    <w:p w:rsidR="00000000" w:rsidDel="00000000" w:rsidP="00000000" w:rsidRDefault="00000000" w:rsidRPr="00000000" w14:paraId="0000006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Смета доходов и расходов. В какие сроки, кем утверждается смета доходов и расходов, программа деятельности Ассоциации? Обязательно ли размещение в открытых источниках (на сайте ассоциации)?</w:t>
      </w:r>
    </w:p>
    <w:p w:rsidR="00000000" w:rsidDel="00000000" w:rsidP="00000000" w:rsidRDefault="00000000" w:rsidRPr="00000000" w14:paraId="0000006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в течение года открывается новое направление деятельности, которое не прописано в смете, программе, как правильно это отразить?  </w:t>
      </w:r>
    </w:p>
    <w:p w:rsidR="00000000" w:rsidDel="00000000" w:rsidP="00000000" w:rsidRDefault="00000000" w:rsidRPr="00000000" w14:paraId="0000006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4.</w:t>
      </w:r>
    </w:p>
    <w:p w:rsidR="00000000" w:rsidDel="00000000" w:rsidP="00000000" w:rsidRDefault="00000000" w:rsidRPr="00000000" w14:paraId="0000006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документально должна подтверждаться некоммерческая деятельность Ассоциации? </w:t>
      </w:r>
    </w:p>
    <w:p w:rsidR="00000000" w:rsidDel="00000000" w:rsidP="00000000" w:rsidRDefault="00000000" w:rsidRPr="00000000" w14:paraId="00000066">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sv3x1myf8cd1" w:id="11"/>
      <w:bookmarkEnd w:id="11"/>
      <w:r w:rsidDel="00000000" w:rsidR="00000000" w:rsidRPr="00000000">
        <w:rPr>
          <w:rFonts w:ascii="Times New Roman" w:cs="Times New Roman" w:eastAsia="Times New Roman" w:hAnsi="Times New Roman"/>
          <w:b w:val="1"/>
          <w:sz w:val="36"/>
          <w:szCs w:val="36"/>
          <w:rtl w:val="0"/>
        </w:rPr>
        <w:t xml:space="preserve">9. Маргарита Николаевна К.</w:t>
      </w:r>
    </w:p>
    <w:p w:rsidR="00000000" w:rsidDel="00000000" w:rsidP="00000000" w:rsidRDefault="00000000" w:rsidRPr="00000000" w14:paraId="00000067">
      <w:pPr>
        <w:shd w:fill="ffffff" w:val="clear"/>
        <w:spacing w:after="220" w:before="220" w:lineRule="auto"/>
        <w:ind w:firstLine="566.9291338582675"/>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68">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Сотрудница вышла на работу раньше положенного времени из отпуска по уходу за детьми до 3х лет, с 1 марта 2022.</w:t>
      </w:r>
    </w:p>
    <w:p w:rsidR="00000000" w:rsidDel="00000000" w:rsidP="00000000" w:rsidRDefault="00000000" w:rsidRPr="00000000" w14:paraId="00000069">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Можно ли применить для неё стандартные вычеты с 1 января по осн. работе или (внешнее совместительство)?</w:t>
      </w:r>
    </w:p>
    <w:p w:rsidR="00000000" w:rsidDel="00000000" w:rsidP="00000000" w:rsidRDefault="00000000" w:rsidRPr="00000000" w14:paraId="0000006A">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Сотрудник планирует отпуск в мае 2022 г. Какой период брать для расчета отпускных, если она была в отпуске по уходу за ребенком с августа 2019 г., в 2022 г. рабочие месяцы март - апрель 2022 г.</w:t>
      </w:r>
    </w:p>
    <w:p w:rsidR="00000000" w:rsidDel="00000000" w:rsidP="00000000" w:rsidRDefault="00000000" w:rsidRPr="00000000" w14:paraId="0000006B">
      <w:pPr>
        <w:pStyle w:val="Heading1"/>
        <w:ind w:left="720" w:firstLine="0"/>
        <w:rPr>
          <w:rFonts w:ascii="Times New Roman" w:cs="Times New Roman" w:eastAsia="Times New Roman" w:hAnsi="Times New Roman"/>
          <w:b w:val="1"/>
          <w:sz w:val="36"/>
          <w:szCs w:val="36"/>
        </w:rPr>
      </w:pPr>
      <w:bookmarkStart w:colFirst="0" w:colLast="0" w:name="_opig44j86mh" w:id="12"/>
      <w:bookmarkEnd w:id="12"/>
      <w:r w:rsidDel="00000000" w:rsidR="00000000" w:rsidRPr="00000000">
        <w:rPr>
          <w:rFonts w:ascii="Times New Roman" w:cs="Times New Roman" w:eastAsia="Times New Roman" w:hAnsi="Times New Roman"/>
          <w:b w:val="1"/>
          <w:sz w:val="36"/>
          <w:szCs w:val="36"/>
          <w:rtl w:val="0"/>
        </w:rPr>
        <w:t xml:space="preserve">10. Татьяна Валерьевна З.</w:t>
      </w:r>
    </w:p>
    <w:p w:rsidR="00000000" w:rsidDel="00000000" w:rsidP="00000000" w:rsidRDefault="00000000" w:rsidRPr="00000000" w14:paraId="0000006C">
      <w:pPr>
        <w:shd w:fill="ffffff" w:val="clear"/>
        <w:ind w:firstLine="566.9291338582675"/>
        <w:jc w:val="both"/>
        <w:rPr>
          <w:rFonts w:ascii="Times New Roman" w:cs="Times New Roman" w:eastAsia="Times New Roman" w:hAnsi="Times New Roman"/>
          <w:b w:val="1"/>
          <w:color w:val="00ff00"/>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p>
    <w:p w:rsidR="00000000" w:rsidDel="00000000" w:rsidP="00000000" w:rsidRDefault="00000000" w:rsidRPr="00000000" w14:paraId="0000006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профилактики инвалидности по зрению и реабилитации прединвалидов и инвалидов по зрению для взрослых и детей  https://oftal.ru/blagotvoritelnyij-fond уже более 15 лет оказывает помощь людям, имеющим нарушения зрения.</w:t>
      </w:r>
    </w:p>
    <w:p w:rsidR="00000000" w:rsidDel="00000000" w:rsidP="00000000" w:rsidRDefault="00000000" w:rsidRPr="00000000" w14:paraId="0000006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Всё это время нуждающихся оформляют на основании заявления, поданного в фонд. см. Приложения (направление, протокол, отчет фонда).</w:t>
      </w:r>
    </w:p>
    <w:p w:rsidR="00000000" w:rsidDel="00000000" w:rsidP="00000000" w:rsidRDefault="00000000" w:rsidRPr="00000000" w14:paraId="0000006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 последние несколько лет никаких движений денежных средств по счету не было. Сдают только нулевую отчетность, хотя учредитель регулярно вносила средства для оплаты текущих расходов.</w:t>
      </w:r>
    </w:p>
    <w:p w:rsidR="00000000" w:rsidDel="00000000" w:rsidP="00000000" w:rsidRDefault="00000000" w:rsidRPr="00000000" w14:paraId="0000007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Является ли отсутствие движения денежных средств значимым фактором? Влияет ли это на что-то?</w:t>
      </w:r>
    </w:p>
    <w:p w:rsidR="00000000" w:rsidDel="00000000" w:rsidP="00000000" w:rsidRDefault="00000000" w:rsidRPr="00000000" w14:paraId="0000007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Являются ли заявления и протоколы легитимным подтверждением текущей деятельности, можно ли ими отчитываться при подаче грантов?</w:t>
      </w:r>
    </w:p>
    <w:p w:rsidR="00000000" w:rsidDel="00000000" w:rsidP="00000000" w:rsidRDefault="00000000" w:rsidRPr="00000000" w14:paraId="0000007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Сейчас впервые поступило значительная сумма от благотворителя. Как лучше проводить пожертвования по бухгалтерии, чтобы в дальнейшем можно было использовать средства по своему усмотрению, в том числе на оплату работы сотрудников?</w:t>
      </w:r>
    </w:p>
    <w:p w:rsidR="00000000" w:rsidDel="00000000" w:rsidP="00000000" w:rsidRDefault="00000000" w:rsidRPr="00000000" w14:paraId="00000073">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v2nezxhvge2q" w:id="13"/>
      <w:bookmarkEnd w:id="13"/>
      <w:r w:rsidDel="00000000" w:rsidR="00000000" w:rsidRPr="00000000">
        <w:rPr>
          <w:rFonts w:ascii="Times New Roman" w:cs="Times New Roman" w:eastAsia="Times New Roman" w:hAnsi="Times New Roman"/>
          <w:b w:val="1"/>
          <w:sz w:val="36"/>
          <w:szCs w:val="36"/>
          <w:rtl w:val="0"/>
        </w:rPr>
        <w:t xml:space="preserve">11. Марина Т.</w:t>
      </w:r>
    </w:p>
    <w:p w:rsidR="00000000" w:rsidDel="00000000" w:rsidP="00000000" w:rsidRDefault="00000000" w:rsidRPr="00000000" w14:paraId="00000074">
      <w:pPr>
        <w:shd w:fill="ffffff" w:val="clear"/>
        <w:ind w:firstLine="566.9291338582675"/>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75">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если НКО (Фонд) получает субсидию из федерального бюджета в виде Гранта, требуется ли отразить в п. 3 отчетной формы в Минюст России (форма ОН0001), в качестве источника Грант и фед. бюджет, или достаточно отметить лишь средства федерального бюджета?</w:t>
      </w:r>
    </w:p>
    <w:p w:rsidR="00000000" w:rsidDel="00000000" w:rsidP="00000000" w:rsidRDefault="00000000" w:rsidRPr="00000000" w14:paraId="00000076">
      <w:pPr>
        <w:shd w:fill="ffffff" w:val="clear"/>
        <w:spacing w:after="22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77">
      <w:pPr>
        <w:pStyle w:val="Heading1"/>
        <w:shd w:fill="ffffff" w:val="clear"/>
        <w:ind w:firstLine="566.9291338582675"/>
        <w:jc w:val="both"/>
        <w:rPr>
          <w:rFonts w:ascii="Times New Roman" w:cs="Times New Roman" w:eastAsia="Times New Roman" w:hAnsi="Times New Roman"/>
          <w:b w:val="1"/>
          <w:sz w:val="36"/>
          <w:szCs w:val="36"/>
          <w:highlight w:val="white"/>
        </w:rPr>
      </w:pPr>
      <w:bookmarkStart w:colFirst="0" w:colLast="0" w:name="_q968biiqgsni" w:id="14"/>
      <w:bookmarkEnd w:id="14"/>
      <w:r w:rsidDel="00000000" w:rsidR="00000000" w:rsidRPr="00000000">
        <w:rPr>
          <w:rFonts w:ascii="Times New Roman" w:cs="Times New Roman" w:eastAsia="Times New Roman" w:hAnsi="Times New Roman"/>
          <w:b w:val="1"/>
          <w:sz w:val="36"/>
          <w:szCs w:val="36"/>
          <w:rtl w:val="0"/>
        </w:rPr>
        <w:t xml:space="preserve">12. </w:t>
      </w:r>
      <w:r w:rsidDel="00000000" w:rsidR="00000000" w:rsidRPr="00000000">
        <w:rPr>
          <w:rFonts w:ascii="Times New Roman" w:cs="Times New Roman" w:eastAsia="Times New Roman" w:hAnsi="Times New Roman"/>
          <w:b w:val="1"/>
          <w:sz w:val="36"/>
          <w:szCs w:val="36"/>
          <w:highlight w:val="white"/>
          <w:rtl w:val="0"/>
        </w:rPr>
        <w:t xml:space="preserve">Ольга Владимировна К. </w:t>
      </w:r>
    </w:p>
    <w:p w:rsidR="00000000" w:rsidDel="00000000" w:rsidP="00000000" w:rsidRDefault="00000000" w:rsidRPr="00000000" w14:paraId="0000007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79">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по отчетности в Минюст за 2021 год:</w:t>
      </w:r>
    </w:p>
    <w:p w:rsidR="00000000" w:rsidDel="00000000" w:rsidP="00000000" w:rsidRDefault="00000000" w:rsidRPr="00000000" w14:paraId="0000007A">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На сайте Минюст на сегодняшний день не реализована возможность размещения отчетов именно по новой форме.  Достаточно ли в этой ситуации на Ваш экспертный взгляд отправить в бумажной форме непосредственно в Минюст без размещения на портале формы ОН001 и ОН002 по благотворительному фонду и автономной некоммерческой организации?</w:t>
      </w:r>
    </w:p>
    <w:p w:rsidR="00000000" w:rsidDel="00000000" w:rsidP="00000000" w:rsidRDefault="00000000" w:rsidRPr="00000000" w14:paraId="0000007B">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пункт 1.7 формы ОН0002 – как получить информацию от благотворителей по бенефициарам? Согласно 115-ФЗ п. 6 ст. 6.1 мы не входим в список, кому юридические лица обязаны предоставить информацию по бенефициарам.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