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5E" w:rsidRPr="0088795E" w:rsidRDefault="0088795E" w:rsidP="0088795E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9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Вопросы к </w:t>
      </w:r>
      <w:proofErr w:type="spellStart"/>
      <w:r w:rsidRPr="008879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вебинару</w:t>
      </w:r>
      <w:proofErr w:type="spellEnd"/>
      <w:r w:rsidRPr="008879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15 марта 2022 г. (вторник)</w:t>
      </w:r>
    </w:p>
    <w:p w:rsidR="0088795E" w:rsidRPr="0088795E" w:rsidRDefault="0088795E" w:rsidP="0088795E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9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1. Вера Ч.</w:t>
      </w:r>
    </w:p>
    <w:p w:rsidR="0088795E" w:rsidRPr="0088795E" w:rsidRDefault="0088795E" w:rsidP="0088795E">
      <w:pPr>
        <w:shd w:val="clear" w:color="auto" w:fill="FFFFFF"/>
        <w:spacing w:before="22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95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Подскажите, пожалуйста, как учитываются Пожертвования по договору Пожертвования, составленного в начале года на текущий год. Если одна религиозная организация планирует пожертвовать другой религиозной определённую сумму за год. Может ли она прописать эту сумму в договоре Пожертвования? И какой тогда бухучёт нужно будет вести?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Определяется ли это намерение как доходы будущих периодов? Или можно принимать как обычное пожертвование по факту?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Как упростить этот момент, ведь это не </w:t>
      </w:r>
      <w:proofErr w:type="gram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доходы</w:t>
      </w:r>
      <w:proofErr w:type="gram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а планируемое Пожертвование? Которое может измениться к концу </w:t>
      </w:r>
      <w:proofErr w:type="gram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года</w:t>
      </w:r>
      <w:proofErr w:type="gram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как в большую так и в меньшую сторону.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Если происходит изменение суммы в конце года, то какими дополнительными действиями зафиксировать это?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FC3B66" w:rsidRDefault="004347BC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  <w:r w:rsidRPr="00FC3B66">
        <w:rPr>
          <w:color w:val="002060"/>
          <w:sz w:val="32"/>
          <w:szCs w:val="32"/>
        </w:rPr>
        <w:t xml:space="preserve">В бухгалтерском учѐте НКО применяет допущение временной определѐнности фактов хозяйственной деятельности (факты хозяйственной деятельности организации относятся к тому отчѐтному периоду, в котором они имели место, независимо от фактического времени поступления или выплаты денежных средств, связанных с этими фактами), предусмотренное п. 5 Положения по бухгалтерскому </w:t>
      </w:r>
      <w:proofErr w:type="gramStart"/>
      <w:r w:rsidRPr="00FC3B66">
        <w:rPr>
          <w:color w:val="002060"/>
          <w:sz w:val="32"/>
          <w:szCs w:val="32"/>
        </w:rPr>
        <w:t>учѐту</w:t>
      </w:r>
      <w:proofErr w:type="gramEnd"/>
      <w:r w:rsidRPr="00FC3B66">
        <w:rPr>
          <w:color w:val="002060"/>
          <w:sz w:val="32"/>
          <w:szCs w:val="32"/>
        </w:rPr>
        <w:t xml:space="preserve"> «Учѐтная политика организации» (ПБУ 1/2008). </w:t>
      </w:r>
    </w:p>
    <w:p w:rsidR="00FC3B66" w:rsidRDefault="004347BC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  <w:r w:rsidRPr="00FC3B66">
        <w:rPr>
          <w:color w:val="002060"/>
          <w:sz w:val="32"/>
          <w:szCs w:val="32"/>
        </w:rPr>
        <w:t xml:space="preserve">Иначе говоря, в общем случае все </w:t>
      </w:r>
      <w:r w:rsidRPr="00FC3B66">
        <w:rPr>
          <w:color w:val="002060"/>
          <w:sz w:val="32"/>
          <w:szCs w:val="32"/>
          <w:highlight w:val="yellow"/>
        </w:rPr>
        <w:t>доходы и расходы должны учитываться по начислению, т.е. по факту возникновения права на получение дохода</w:t>
      </w:r>
      <w:r w:rsidRPr="00FC3B66">
        <w:rPr>
          <w:color w:val="002060"/>
          <w:sz w:val="32"/>
          <w:szCs w:val="32"/>
        </w:rPr>
        <w:t xml:space="preserve"> (обязанности по несению расхода). </w:t>
      </w:r>
    </w:p>
    <w:p w:rsidR="00FC3B66" w:rsidRDefault="00FC3B66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</w:p>
    <w:p w:rsidR="00FC3B66" w:rsidRDefault="004347BC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  <w:r w:rsidRPr="00FC3B66">
        <w:rPr>
          <w:color w:val="002060"/>
          <w:sz w:val="32"/>
          <w:szCs w:val="32"/>
        </w:rPr>
        <w:lastRenderedPageBreak/>
        <w:t xml:space="preserve">На практике использовать метод начислений для учѐта доходов, поступающих в качестве пожертвований, грантов, иных целевых поступлений в большинстве случаев не всегда представляется возможным. Исключение составляют случаи, когда некоммерческой организации точно известно, когда, в какой сумме и от кого должен поступить платеж, учитываемый как целевое поступление. </w:t>
      </w:r>
    </w:p>
    <w:p w:rsidR="00FC3B66" w:rsidRDefault="00FC3B66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</w:p>
    <w:p w:rsidR="0088795E" w:rsidRPr="00FC3B66" w:rsidRDefault="004347BC" w:rsidP="0088795E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32"/>
          <w:szCs w:val="32"/>
        </w:rPr>
      </w:pPr>
      <w:r w:rsidRPr="00FC3B66">
        <w:rPr>
          <w:color w:val="002060"/>
          <w:sz w:val="32"/>
          <w:szCs w:val="32"/>
        </w:rPr>
        <w:t xml:space="preserve">План счетов предусматривает для учѐта начисления целевых средств запись «дебет 76 кредит 86», а затем, при их получении – «дебет 08, 10, 50, 51, 52 кредит 76». Следуя рекомендациям Плана счетов, НКО может эти бухгалтерские записи делать на дату получения средств. На </w:t>
      </w:r>
      <w:proofErr w:type="gramStart"/>
      <w:r w:rsidRPr="00FC3B66">
        <w:rPr>
          <w:color w:val="002060"/>
          <w:sz w:val="32"/>
          <w:szCs w:val="32"/>
        </w:rPr>
        <w:t>бухгалтерскую</w:t>
      </w:r>
      <w:proofErr w:type="gramEnd"/>
      <w:r w:rsidRPr="00FC3B66">
        <w:rPr>
          <w:color w:val="002060"/>
          <w:sz w:val="32"/>
          <w:szCs w:val="32"/>
        </w:rPr>
        <w:t xml:space="preserve"> отчѐтность наличие или отсутствие промежуточных записей не окажет никакого влияния, зато из аналитического учѐта (особенно при автоматизированной форме учѐта) всегда будет видно, какой жертвователь сколько перечислил средств.</w:t>
      </w:r>
    </w:p>
    <w:p w:rsidR="00FC3B66" w:rsidRDefault="00FC3B66" w:rsidP="0088795E">
      <w:pPr>
        <w:shd w:val="clear" w:color="auto" w:fill="FFFFFF"/>
        <w:spacing w:after="0" w:line="240" w:lineRule="auto"/>
        <w:ind w:firstLine="567"/>
        <w:jc w:val="both"/>
      </w:pPr>
    </w:p>
    <w:p w:rsidR="0025154F" w:rsidRDefault="0025154F" w:rsidP="0088795E">
      <w:pPr>
        <w:shd w:val="clear" w:color="auto" w:fill="FFFFFF"/>
        <w:spacing w:after="0" w:line="240" w:lineRule="auto"/>
        <w:ind w:firstLine="567"/>
        <w:jc w:val="both"/>
      </w:pPr>
    </w:p>
    <w:p w:rsidR="0025154F" w:rsidRDefault="0025154F" w:rsidP="0088795E">
      <w:pPr>
        <w:shd w:val="clear" w:color="auto" w:fill="FFFFFF"/>
        <w:spacing w:after="0" w:line="240" w:lineRule="auto"/>
        <w:ind w:firstLine="567"/>
        <w:jc w:val="both"/>
      </w:pPr>
    </w:p>
    <w:p w:rsidR="0025154F" w:rsidRPr="0025154F" w:rsidRDefault="00FE4C6A" w:rsidP="0088795E">
      <w:pPr>
        <w:shd w:val="clear" w:color="auto" w:fill="FFFFFF"/>
        <w:spacing w:before="400" w:after="120" w:line="240" w:lineRule="auto"/>
        <w:jc w:val="both"/>
        <w:outlineLvl w:val="0"/>
        <w:rPr>
          <w:color w:val="0033CC"/>
          <w:sz w:val="32"/>
          <w:szCs w:val="32"/>
          <w:shd w:val="clear" w:color="auto" w:fill="FFFFFF"/>
        </w:rPr>
      </w:pPr>
      <w:hyperlink r:id="rId4" w:history="1">
        <w:r w:rsidR="0025154F" w:rsidRPr="0025154F">
          <w:rPr>
            <w:rStyle w:val="a4"/>
            <w:rFonts w:ascii="Arial" w:hAnsi="Arial" w:cs="Arial"/>
            <w:b/>
            <w:bCs/>
            <w:color w:val="0033CC"/>
            <w:sz w:val="32"/>
            <w:szCs w:val="32"/>
            <w:shd w:val="clear" w:color="auto" w:fill="FFFFFF"/>
          </w:rPr>
          <w:t>&lt;Информация&gt; Минфина России "Об особенностях формирования бухгалтерской (финансовой) отчетности некоммерческих организаций (ПЗ-1/2015)"</w:t>
        </w:r>
      </w:hyperlink>
      <w:r w:rsidR="0025154F" w:rsidRPr="0025154F">
        <w:rPr>
          <w:color w:val="0033CC"/>
          <w:sz w:val="32"/>
          <w:szCs w:val="32"/>
          <w:shd w:val="clear" w:color="auto" w:fill="FFFFFF"/>
        </w:rPr>
        <w:t xml:space="preserve"> </w:t>
      </w:r>
    </w:p>
    <w:p w:rsidR="0025154F" w:rsidRPr="0025154F" w:rsidRDefault="0025154F" w:rsidP="0088795E">
      <w:pPr>
        <w:shd w:val="clear" w:color="auto" w:fill="FFFFFF"/>
        <w:spacing w:before="4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  <w:lang w:eastAsia="ru-RU"/>
        </w:rPr>
      </w:pPr>
      <w:r w:rsidRPr="0025154F">
        <w:rPr>
          <w:color w:val="0033CC"/>
          <w:sz w:val="32"/>
          <w:szCs w:val="32"/>
          <w:shd w:val="clear" w:color="auto" w:fill="FFFFFF"/>
        </w:rPr>
        <w:t xml:space="preserve">4.2. </w:t>
      </w:r>
      <w:proofErr w:type="gramStart"/>
      <w:r w:rsidRPr="0025154F">
        <w:rPr>
          <w:color w:val="0033CC"/>
          <w:sz w:val="32"/>
          <w:szCs w:val="32"/>
          <w:shd w:val="clear" w:color="auto" w:fill="FFFFFF"/>
        </w:rPr>
        <w:t xml:space="preserve">В соответствии с положениями по бухгалтерскому учету некоммерческая организация, </w:t>
      </w:r>
      <w:r w:rsidRPr="0025154F">
        <w:rPr>
          <w:color w:val="0033CC"/>
          <w:sz w:val="32"/>
          <w:szCs w:val="32"/>
          <w:highlight w:val="yellow"/>
          <w:shd w:val="clear" w:color="auto" w:fill="FFFFFF"/>
        </w:rPr>
        <w:t>применяющая упрощенные способы</w:t>
      </w:r>
      <w:r w:rsidRPr="0025154F">
        <w:rPr>
          <w:color w:val="0033CC"/>
          <w:sz w:val="32"/>
          <w:szCs w:val="32"/>
          <w:shd w:val="clear" w:color="auto" w:fill="FFFFFF"/>
        </w:rPr>
        <w:t xml:space="preserve">, может: принять решение </w:t>
      </w:r>
      <w:r w:rsidRPr="0025154F">
        <w:rPr>
          <w:color w:val="0033CC"/>
          <w:sz w:val="32"/>
          <w:szCs w:val="32"/>
          <w:highlight w:val="yellow"/>
          <w:shd w:val="clear" w:color="auto" w:fill="FFFFFF"/>
        </w:rPr>
        <w:t>об использовании кассового метода учета доходов и расходов</w:t>
      </w:r>
      <w:r w:rsidRPr="0025154F">
        <w:rPr>
          <w:color w:val="0033CC"/>
          <w:sz w:val="32"/>
          <w:szCs w:val="32"/>
          <w:shd w:val="clear" w:color="auto" w:fill="FFFFFF"/>
        </w:rPr>
        <w:t>; признавать все расходы по займам прочими расходами; не отражать оценочные обязательства в бухгалтерском учете, в том числе не создавать резервы предстоящих расходов (на предстоящую оплату отпусков работникам, выплату вознаграждений по итогам работы за год и др.);</w:t>
      </w:r>
      <w:proofErr w:type="gramEnd"/>
      <w:r w:rsidRPr="0025154F">
        <w:rPr>
          <w:color w:val="0033CC"/>
          <w:sz w:val="32"/>
          <w:szCs w:val="32"/>
          <w:shd w:val="clear" w:color="auto" w:fill="FFFFFF"/>
        </w:rPr>
        <w:t xml:space="preserve"> осуществлять последующую оценку всех финансовых вложений в порядке, установленном для финансовых вложений, по которым текущая рыночная стоимость не определяется, а также принять решение не отражать обесценение финансовых вложений в бухгалтерском учете в случаях, когда расчет величины такого </w:t>
      </w:r>
      <w:r w:rsidRPr="0025154F">
        <w:rPr>
          <w:color w:val="0033CC"/>
          <w:sz w:val="32"/>
          <w:szCs w:val="32"/>
          <w:shd w:val="clear" w:color="auto" w:fill="FFFFFF"/>
        </w:rPr>
        <w:lastRenderedPageBreak/>
        <w:t>обесценения затруднителен; отражать в бухгалтерском учете и бухгалтерской (финансовой) отчетности только суммы налога на прибыль отчетного периода без отражения сумм, способных оказать влияние на величину налога на прибыль последующих периодов (отложенные налоговые активы, отложенные налоговые обязательства и т.п. объекты).</w:t>
      </w:r>
      <w:r w:rsidRPr="0025154F"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  <w:lang w:eastAsia="ru-RU"/>
        </w:rPr>
        <w:t xml:space="preserve"> </w:t>
      </w:r>
    </w:p>
    <w:p w:rsidR="0025154F" w:rsidRPr="0025154F" w:rsidRDefault="0025154F" w:rsidP="0025154F">
      <w:pPr>
        <w:pStyle w:val="1"/>
        <w:shd w:val="clear" w:color="auto" w:fill="FFFFFF"/>
        <w:spacing w:before="161" w:beforeAutospacing="0" w:after="161" w:afterAutospacing="0"/>
        <w:rPr>
          <w:rFonts w:ascii="Arial" w:hAnsi="Arial" w:cs="Arial"/>
          <w:color w:val="0033CC"/>
          <w:sz w:val="32"/>
          <w:szCs w:val="32"/>
        </w:rPr>
      </w:pPr>
      <w:r w:rsidRPr="0025154F">
        <w:rPr>
          <w:rFonts w:ascii="Arial" w:hAnsi="Arial" w:cs="Arial"/>
          <w:color w:val="0033CC"/>
          <w:sz w:val="32"/>
          <w:szCs w:val="32"/>
        </w:rPr>
        <w:t>Федеральный закон "О бухгалтерском учете" от 06.12.2011 N 402-ФЗ (последняя редакция)</w:t>
      </w:r>
    </w:p>
    <w:p w:rsidR="0025154F" w:rsidRPr="0025154F" w:rsidRDefault="0025154F" w:rsidP="0088795E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Arial" w:hAnsi="Arial" w:cs="Arial"/>
          <w:b/>
          <w:bCs/>
          <w:color w:val="0033CC"/>
          <w:sz w:val="32"/>
          <w:szCs w:val="32"/>
          <w:shd w:val="clear" w:color="auto" w:fill="FFFFFF"/>
        </w:rPr>
      </w:pPr>
      <w:r w:rsidRPr="0025154F">
        <w:rPr>
          <w:rFonts w:ascii="Arial" w:hAnsi="Arial" w:cs="Arial"/>
          <w:b/>
          <w:bCs/>
          <w:color w:val="0033CC"/>
          <w:sz w:val="32"/>
          <w:szCs w:val="32"/>
          <w:shd w:val="clear" w:color="auto" w:fill="FFFFFF"/>
        </w:rPr>
        <w:t>Статья 6. Обязанность ведения бухгалтерского учета</w:t>
      </w:r>
    </w:p>
    <w:p w:rsidR="0025154F" w:rsidRPr="0025154F" w:rsidRDefault="0025154F" w:rsidP="0025154F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5. Упрощенные способы ведения бухгалтерского учета, включая упрощенную бухгалтерскую (финансовую) отчетность, не применяют следующие экономические субъекты: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highlight w:val="yellow"/>
          <w:lang w:eastAsia="ru-RU"/>
        </w:rPr>
        <w:t>1) организации, бухгалтерская (финансовая) отчетность которых подлежит обязательному аудиту в соответствии с законодательством Российской Федерации;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2) жилищные и жилищно-строительные кооперативы;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3) кредитные потребительские кооперативы (включая сельскохозяйственные кредитные потребительские кооперативы);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4) </w:t>
      </w:r>
      <w:proofErr w:type="spellStart"/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микрофинансовые</w:t>
      </w:r>
      <w:proofErr w:type="spellEnd"/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 организации;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5) организации бюджетной сферы;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6) политические партии, их региональные отделения или иные структурные подразделения;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7) коллегии адвокатов;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8) адвокатские бюро;</w:t>
      </w:r>
    </w:p>
    <w:p w:rsidR="0025154F" w:rsidRPr="0025154F" w:rsidRDefault="0025154F" w:rsidP="0025154F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9) юридические консультации;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10) адвокатские палаты;</w:t>
      </w:r>
    </w:p>
    <w:p w:rsidR="0025154F" w:rsidRPr="0025154F" w:rsidRDefault="0025154F" w:rsidP="0025154F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11) нотариальные палаты;</w:t>
      </w:r>
    </w:p>
    <w:p w:rsidR="0025154F" w:rsidRPr="0025154F" w:rsidRDefault="0025154F" w:rsidP="0025154F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</w:pPr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12) некоммерческие организации, включенные в предусмотренный </w:t>
      </w:r>
      <w:hyperlink r:id="rId5" w:anchor="dst408" w:history="1">
        <w:r w:rsidRPr="0025154F">
          <w:rPr>
            <w:rFonts w:ascii="Times New Roman" w:eastAsia="Times New Roman" w:hAnsi="Times New Roman" w:cs="Times New Roman"/>
            <w:color w:val="0033CC"/>
            <w:sz w:val="32"/>
            <w:szCs w:val="32"/>
            <w:u w:val="single"/>
            <w:lang w:eastAsia="ru-RU"/>
          </w:rPr>
          <w:t>пунктом 10 статьи 13.1</w:t>
        </w:r>
      </w:hyperlink>
      <w:r w:rsidRPr="0025154F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> Федерального закона от 12 января 1996 года N 7-ФЗ "О некоммерческих организациях" реестр некоммерческих организаций, выполняющих функции иностранного агента.</w:t>
      </w:r>
    </w:p>
    <w:p w:rsidR="0025154F" w:rsidRDefault="0025154F" w:rsidP="0088795E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5154F" w:rsidRDefault="0025154F" w:rsidP="0088795E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88795E" w:rsidRPr="0088795E" w:rsidRDefault="0088795E" w:rsidP="0088795E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9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7. Татьяна Д.</w:t>
      </w:r>
    </w:p>
    <w:p w:rsidR="0088795E" w:rsidRPr="0088795E" w:rsidRDefault="0088795E" w:rsidP="0088795E">
      <w:pPr>
        <w:shd w:val="clear" w:color="auto" w:fill="FFFFFF"/>
        <w:spacing w:before="22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95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1) Благотворительная организация на УСН, кроме пожертвований от физ. лиц и юр. лиц, поступают пожертвования через платежных агентов (КИВИ, ЮМАНИ и т.д.) Они присылают акт в последний день месяца на сумму пожертвований за месяц и комиссию за услуги (в т.ч. НДС на комиссию). На </w:t>
      </w:r>
      <w:proofErr w:type="spellStart"/>
      <w:proofErr w:type="gram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spellEnd"/>
      <w:proofErr w:type="gram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/с к нам приходят пожертвования уже за минусом комиссии. Как правильно в учете отражать: начисление на общую сумму пожертвований, потом сумму начисленной комиссии и поступление на </w:t>
      </w:r>
      <w:proofErr w:type="spellStart"/>
      <w:proofErr w:type="gram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</w:t>
      </w:r>
      <w:proofErr w:type="spellEnd"/>
      <w:proofErr w:type="gram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/с (уже в следующем месяце). Учет пожертвований в программе 1С: Бухгалтерия для НКО ведется кассовым методом, а не начисления. И как отразить эти суммы в 3 разделе декларации по УСН?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2) Раздел 3 декларации по УСН несколько лет заполняли методом начисления, как правильно, подать </w:t>
      </w:r>
      <w:proofErr w:type="spell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уточненки</w:t>
      </w:r>
      <w:proofErr w:type="spell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</w:t>
      </w:r>
      <w:proofErr w:type="gram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предыдущие 3 года по кассовому методу и за 2021г сделать кассовым? Что может повлечь за собой подача </w:t>
      </w:r>
      <w:proofErr w:type="spellStart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уточн</w:t>
      </w:r>
      <w:proofErr w:type="spellEnd"/>
      <w:r w:rsidRPr="008879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деклараций со стороны налоговых органов?</w:t>
      </w:r>
    </w:p>
    <w:p w:rsidR="0088795E" w:rsidRPr="0088795E" w:rsidRDefault="0088795E" w:rsidP="0088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544201" w:rsidRPr="00A61931" w:rsidRDefault="00544201">
      <w:pPr>
        <w:rPr>
          <w:color w:val="002060"/>
          <w:sz w:val="24"/>
          <w:szCs w:val="24"/>
        </w:rPr>
      </w:pPr>
    </w:p>
    <w:p w:rsidR="00FC3B66" w:rsidRDefault="00A61931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Д57.01 К86 Внесено пожертвование 500р</w:t>
      </w:r>
      <w:r w:rsidRPr="00A61931">
        <w:rPr>
          <w:rFonts w:ascii="Arial" w:hAnsi="Arial" w:cs="Arial"/>
          <w:color w:val="002060"/>
          <w:sz w:val="24"/>
          <w:szCs w:val="24"/>
        </w:rPr>
        <w:br/>
      </w:r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Д51 К57.01 Пришли деньги на счет 485р</w:t>
      </w:r>
      <w:r w:rsidRPr="00A61931">
        <w:rPr>
          <w:rFonts w:ascii="Arial" w:hAnsi="Arial" w:cs="Arial"/>
          <w:color w:val="002060"/>
          <w:sz w:val="24"/>
          <w:szCs w:val="24"/>
        </w:rPr>
        <w:br/>
      </w:r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Д91.02 К57.01 Отражена комиссия 15р</w:t>
      </w:r>
      <w:r w:rsidRPr="00A61931">
        <w:rPr>
          <w:rFonts w:ascii="Arial" w:hAnsi="Arial" w:cs="Arial"/>
          <w:color w:val="002060"/>
          <w:sz w:val="24"/>
          <w:szCs w:val="24"/>
        </w:rPr>
        <w:br/>
      </w:r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Д86 К91.02 списание целевых средств на б</w:t>
      </w:r>
      <w:proofErr w:type="gramStart"/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.к</w:t>
      </w:r>
      <w:proofErr w:type="gramEnd"/>
      <w:r w:rsidRPr="00A61931">
        <w:rPr>
          <w:rFonts w:ascii="Arial" w:hAnsi="Arial" w:cs="Arial"/>
          <w:color w:val="002060"/>
          <w:sz w:val="24"/>
          <w:szCs w:val="24"/>
          <w:shd w:val="clear" w:color="auto" w:fill="FFFFFF"/>
        </w:rPr>
        <w:t>омиссию 15р.</w:t>
      </w:r>
    </w:p>
    <w:p w:rsidR="00A61931" w:rsidRDefault="00A61931">
      <w:p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Раздел 3 Декларации УСН нужно заполнять кассовым методом или методом начисления </w:t>
      </w: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 </w:t>
      </w: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 На счете 86 бухгалтера  большинства некоммерческих организаций отражают не только поступившие взносы, но и начисленные, а значит, заполнение Декларации кассовым </w:t>
      </w: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lastRenderedPageBreak/>
        <w:t xml:space="preserve">методом приведет к неизбежным расхождениям с данными баланса, что может повлечь вопросы со стороны ФНС. </w:t>
      </w: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По мнению сотрудников ФНС Раздел 3 нужно заполнять кассовым методом по сумме фактически поступивших взносов. Раздел справочный, заполняется так же, как и вся Декларация УСН </w:t>
      </w:r>
      <w:r w:rsidRPr="00A61931">
        <w:rPr>
          <w:rFonts w:ascii="Arial" w:eastAsia="Times New Roman" w:hAnsi="Arial" w:cs="Arial"/>
          <w:color w:val="101010"/>
          <w:sz w:val="32"/>
          <w:szCs w:val="32"/>
          <w:highlight w:val="yellow"/>
          <w:shd w:val="clear" w:color="auto" w:fill="FFFFFF"/>
          <w:lang w:eastAsia="ru-RU"/>
        </w:rPr>
        <w:t>кассовым методом</w:t>
      </w: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,  в нем отражаются суммы, не подлежащие обложению единым налогом. В Порядке заполнения Раздела 3 также прописано: "</w:t>
      </w:r>
      <w:r w:rsidRPr="00A61931">
        <w:rPr>
          <w:rFonts w:ascii="Arial" w:eastAsia="Times New Roman" w:hAnsi="Arial" w:cs="Arial"/>
          <w:i/>
          <w:color w:val="101010"/>
          <w:sz w:val="32"/>
          <w:szCs w:val="32"/>
          <w:shd w:val="clear" w:color="auto" w:fill="FFFFFF"/>
          <w:lang w:eastAsia="ru-RU"/>
        </w:rPr>
        <w:t xml:space="preserve">9.1. Раздел 3 заполняют налогоплательщики, </w:t>
      </w:r>
      <w:r w:rsidRPr="00A61931">
        <w:rPr>
          <w:rFonts w:ascii="Arial" w:eastAsia="Times New Roman" w:hAnsi="Arial" w:cs="Arial"/>
          <w:i/>
          <w:color w:val="101010"/>
          <w:sz w:val="32"/>
          <w:szCs w:val="32"/>
          <w:highlight w:val="yellow"/>
          <w:shd w:val="clear" w:color="auto" w:fill="FFFFFF"/>
          <w:lang w:eastAsia="ru-RU"/>
        </w:rPr>
        <w:t>получившие</w:t>
      </w:r>
      <w:r w:rsidRPr="00A61931">
        <w:rPr>
          <w:rFonts w:ascii="Arial" w:eastAsia="Times New Roman" w:hAnsi="Arial" w:cs="Arial"/>
          <w:i/>
          <w:color w:val="101010"/>
          <w:sz w:val="32"/>
          <w:szCs w:val="32"/>
          <w:shd w:val="clear" w:color="auto" w:fill="FFFFFF"/>
          <w:lang w:eastAsia="ru-RU"/>
        </w:rPr>
        <w:t xml:space="preserve"> средства целевого финансирования, целевые поступления и другие средства, указанные в пунктах 1 и 2 статьи 251 Кодекса (далее - целевые средства)</w:t>
      </w:r>
      <w:proofErr w:type="gramStart"/>
      <w:r w:rsidRPr="00A61931">
        <w:rPr>
          <w:rFonts w:ascii="Arial" w:eastAsia="Times New Roman" w:hAnsi="Arial" w:cs="Arial"/>
          <w:i/>
          <w:color w:val="101010"/>
          <w:sz w:val="32"/>
          <w:szCs w:val="32"/>
          <w:shd w:val="clear" w:color="auto" w:fill="FFFFFF"/>
          <w:lang w:eastAsia="ru-RU"/>
        </w:rPr>
        <w:t>.И</w:t>
      </w:r>
      <w:proofErr w:type="gramEnd"/>
      <w:r w:rsidRPr="00A61931">
        <w:rPr>
          <w:rFonts w:ascii="Arial" w:eastAsia="Times New Roman" w:hAnsi="Arial" w:cs="Arial"/>
          <w:i/>
          <w:color w:val="101010"/>
          <w:sz w:val="32"/>
          <w:szCs w:val="32"/>
          <w:shd w:val="clear" w:color="auto" w:fill="FFFFFF"/>
          <w:lang w:eastAsia="ru-RU"/>
        </w:rPr>
        <w:t>сходя из видов полученных налогоплательщиком целевых средств налогоплательщик выбирает соответствующие им наименования и коды, приведенные в Приложении N 5 к настоящему Порядку, и переносит в графу 1 Раздела 3."</w:t>
      </w: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 </w:t>
      </w:r>
    </w:p>
    <w:p w:rsidR="00A61931" w:rsidRDefault="00A61931" w:rsidP="00A61931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A61931" w:rsidRPr="00A61931" w:rsidRDefault="00A61931" w:rsidP="00A61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931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Если у налоговой возникнут вопросы о причинах расхождения Раздела 3 Декларации УСН и Формы 6 баланса нужно предоставить пояснения о том, что расхождения равны сумме начисленных, но не полученных организацией целевых взносов. Как правило, такая сумма учтена по Дебету счета 76 </w:t>
      </w:r>
      <w:r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 </w:t>
      </w:r>
    </w:p>
    <w:p w:rsidR="00A61931" w:rsidRDefault="00A61931">
      <w:pPr>
        <w:rPr>
          <w:color w:val="002060"/>
          <w:sz w:val="24"/>
          <w:szCs w:val="24"/>
        </w:rPr>
      </w:pPr>
    </w:p>
    <w:p w:rsidR="00A61931" w:rsidRDefault="00A61931">
      <w:pPr>
        <w:rPr>
          <w:color w:val="002060"/>
          <w:sz w:val="24"/>
          <w:szCs w:val="24"/>
        </w:rPr>
      </w:pPr>
    </w:p>
    <w:p w:rsidR="00A61931" w:rsidRDefault="00A61931">
      <w:pPr>
        <w:rPr>
          <w:color w:val="002060"/>
          <w:sz w:val="24"/>
          <w:szCs w:val="24"/>
        </w:rPr>
      </w:pPr>
    </w:p>
    <w:p w:rsidR="00A61931" w:rsidRPr="00A61931" w:rsidRDefault="00A61931" w:rsidP="00A61931">
      <w:pPr>
        <w:pStyle w:val="2"/>
        <w:shd w:val="clear" w:color="auto" w:fill="FFFFFF"/>
        <w:spacing w:before="0" w:after="240"/>
        <w:rPr>
          <w:rFonts w:ascii="Arial" w:hAnsi="Arial" w:cs="Arial"/>
          <w:b w:val="0"/>
          <w:bCs w:val="0"/>
          <w:color w:val="002060"/>
          <w:sz w:val="32"/>
          <w:szCs w:val="32"/>
        </w:rPr>
      </w:pPr>
      <w:r w:rsidRPr="00A61931">
        <w:rPr>
          <w:rFonts w:ascii="Arial" w:hAnsi="Arial" w:cs="Arial"/>
          <w:b w:val="0"/>
          <w:bCs w:val="0"/>
          <w:color w:val="002060"/>
          <w:sz w:val="32"/>
          <w:szCs w:val="32"/>
        </w:rPr>
        <w:t>В каких случаях подается уточненная декларация</w:t>
      </w:r>
    </w:p>
    <w:p w:rsidR="00A61931" w:rsidRPr="00A61931" w:rsidRDefault="00A61931" w:rsidP="00A61931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A61931">
        <w:rPr>
          <w:rFonts w:ascii="Arial" w:hAnsi="Arial" w:cs="Arial"/>
          <w:color w:val="002060"/>
          <w:sz w:val="32"/>
          <w:szCs w:val="32"/>
        </w:rPr>
        <w:t> </w:t>
      </w:r>
    </w:p>
    <w:p w:rsidR="00A61931" w:rsidRPr="00A61931" w:rsidRDefault="00A61931" w:rsidP="00A61931">
      <w:pPr>
        <w:rPr>
          <w:rFonts w:ascii="Arial" w:hAnsi="Arial" w:cs="Arial"/>
          <w:color w:val="002060"/>
          <w:sz w:val="32"/>
          <w:szCs w:val="32"/>
        </w:rPr>
      </w:pPr>
      <w:r w:rsidRPr="00A61931">
        <w:rPr>
          <w:rFonts w:ascii="Arial" w:hAnsi="Arial" w:cs="Arial"/>
          <w:color w:val="002060"/>
          <w:sz w:val="32"/>
          <w:szCs w:val="32"/>
          <w:shd w:val="clear" w:color="auto" w:fill="FFFFFF"/>
        </w:rPr>
        <w:t>Уточнённая налоговая декларация подается в следующих случаях: </w:t>
      </w:r>
    </w:p>
    <w:p w:rsidR="00A61931" w:rsidRPr="00A61931" w:rsidRDefault="00A61931" w:rsidP="00A61931">
      <w:pPr>
        <w:shd w:val="clear" w:color="auto" w:fill="FBFBFB"/>
        <w:rPr>
          <w:rFonts w:ascii="Arial" w:hAnsi="Arial" w:cs="Arial"/>
          <w:color w:val="002060"/>
          <w:sz w:val="32"/>
          <w:szCs w:val="32"/>
        </w:rPr>
      </w:pPr>
      <w:proofErr w:type="gramStart"/>
      <w:r w:rsidRPr="00A61931">
        <w:rPr>
          <w:rFonts w:ascii="Arial" w:hAnsi="Arial" w:cs="Arial"/>
          <w:color w:val="002060"/>
          <w:sz w:val="32"/>
          <w:szCs w:val="32"/>
        </w:rPr>
        <w:t xml:space="preserve">При обнаружении ошибок или недостоверных сведений в представленной в налоговый орган налоговой декларации, которые </w:t>
      </w:r>
      <w:r w:rsidRPr="00A61931">
        <w:rPr>
          <w:rFonts w:ascii="Arial" w:hAnsi="Arial" w:cs="Arial"/>
          <w:color w:val="002060"/>
          <w:sz w:val="32"/>
          <w:szCs w:val="32"/>
          <w:highlight w:val="yellow"/>
        </w:rPr>
        <w:t>привели к занижению суммы налога</w:t>
      </w:r>
      <w:r w:rsidRPr="00A61931">
        <w:rPr>
          <w:rFonts w:ascii="Arial" w:hAnsi="Arial" w:cs="Arial"/>
          <w:color w:val="002060"/>
          <w:sz w:val="32"/>
          <w:szCs w:val="32"/>
        </w:rPr>
        <w:t xml:space="preserve">, подлежащей уплате, налогоплательщик </w:t>
      </w:r>
      <w:r w:rsidRPr="00A61931">
        <w:rPr>
          <w:rFonts w:ascii="Arial" w:hAnsi="Arial" w:cs="Arial"/>
          <w:b/>
          <w:color w:val="FF0000"/>
          <w:sz w:val="32"/>
          <w:szCs w:val="32"/>
        </w:rPr>
        <w:t>обязан</w:t>
      </w:r>
      <w:r w:rsidRPr="00A61931">
        <w:rPr>
          <w:rFonts w:ascii="Arial" w:hAnsi="Arial" w:cs="Arial"/>
          <w:color w:val="002060"/>
          <w:sz w:val="32"/>
          <w:szCs w:val="32"/>
        </w:rPr>
        <w:t xml:space="preserve"> внести соответствующие </w:t>
      </w:r>
      <w:r w:rsidRPr="00A61931">
        <w:rPr>
          <w:rFonts w:ascii="Arial" w:hAnsi="Arial" w:cs="Arial"/>
          <w:color w:val="002060"/>
          <w:sz w:val="32"/>
          <w:szCs w:val="32"/>
        </w:rPr>
        <w:lastRenderedPageBreak/>
        <w:t>изменения путём представления уточнённой декларации (</w:t>
      </w:r>
      <w:proofErr w:type="spellStart"/>
      <w:r w:rsidRPr="00A61931">
        <w:rPr>
          <w:rFonts w:ascii="Arial" w:hAnsi="Arial" w:cs="Arial"/>
          <w:color w:val="002060"/>
          <w:sz w:val="32"/>
          <w:szCs w:val="32"/>
        </w:rPr>
        <w:t>абз</w:t>
      </w:r>
      <w:proofErr w:type="spellEnd"/>
      <w:r w:rsidRPr="00A61931">
        <w:rPr>
          <w:rFonts w:ascii="Arial" w:hAnsi="Arial" w:cs="Arial"/>
          <w:color w:val="002060"/>
          <w:sz w:val="32"/>
          <w:szCs w:val="32"/>
        </w:rPr>
        <w:t>. 1 п. 1 </w:t>
      </w:r>
      <w:hyperlink r:id="rId6" w:tgtFrame="_blank" w:history="1">
        <w:r w:rsidRPr="00A61931">
          <w:rPr>
            <w:rStyle w:val="a4"/>
            <w:rFonts w:ascii="Arial" w:hAnsi="Arial" w:cs="Arial"/>
            <w:color w:val="002060"/>
            <w:sz w:val="32"/>
            <w:szCs w:val="32"/>
            <w:u w:val="none"/>
          </w:rPr>
          <w:t>ст. 81 НК РФ</w:t>
        </w:r>
      </w:hyperlink>
      <w:r w:rsidRPr="00A61931">
        <w:rPr>
          <w:rFonts w:ascii="Arial" w:hAnsi="Arial" w:cs="Arial"/>
          <w:color w:val="002060"/>
          <w:sz w:val="32"/>
          <w:szCs w:val="32"/>
        </w:rPr>
        <w:t>).</w:t>
      </w:r>
      <w:proofErr w:type="gramEnd"/>
    </w:p>
    <w:p w:rsidR="00A61931" w:rsidRPr="00A61931" w:rsidRDefault="00A61931" w:rsidP="00A61931">
      <w:pPr>
        <w:shd w:val="clear" w:color="auto" w:fill="FBFBFB"/>
        <w:rPr>
          <w:rFonts w:ascii="Arial" w:hAnsi="Arial" w:cs="Arial"/>
          <w:color w:val="002060"/>
          <w:sz w:val="32"/>
          <w:szCs w:val="32"/>
        </w:rPr>
      </w:pPr>
      <w:proofErr w:type="gramStart"/>
      <w:r w:rsidRPr="00A61931">
        <w:rPr>
          <w:rFonts w:ascii="Arial" w:hAnsi="Arial" w:cs="Arial"/>
          <w:color w:val="002060"/>
          <w:sz w:val="32"/>
          <w:szCs w:val="32"/>
        </w:rPr>
        <w:t xml:space="preserve">При обнаружении ошибок или недостоверных сведений в представленной в налоговый орган налоговой декларации, </w:t>
      </w:r>
      <w:r w:rsidRPr="00A61931">
        <w:rPr>
          <w:rFonts w:ascii="Arial" w:hAnsi="Arial" w:cs="Arial"/>
          <w:color w:val="002060"/>
          <w:sz w:val="32"/>
          <w:szCs w:val="32"/>
          <w:highlight w:val="yellow"/>
        </w:rPr>
        <w:t>не приводящих</w:t>
      </w:r>
      <w:r w:rsidRPr="00A61931">
        <w:rPr>
          <w:rFonts w:ascii="Arial" w:hAnsi="Arial" w:cs="Arial"/>
          <w:color w:val="002060"/>
          <w:sz w:val="32"/>
          <w:szCs w:val="32"/>
        </w:rPr>
        <w:t xml:space="preserve"> к занижению суммы налога, подлежащей уплате, налогоплательщик </w:t>
      </w:r>
      <w:r w:rsidRPr="00A61931">
        <w:rPr>
          <w:rFonts w:ascii="Arial" w:hAnsi="Arial" w:cs="Arial"/>
          <w:b/>
          <w:color w:val="FF0000"/>
          <w:sz w:val="32"/>
          <w:szCs w:val="32"/>
        </w:rPr>
        <w:t>вправе</w:t>
      </w:r>
      <w:r w:rsidRPr="00A61931">
        <w:rPr>
          <w:rFonts w:ascii="Arial" w:hAnsi="Arial" w:cs="Arial"/>
          <w:color w:val="002060"/>
          <w:sz w:val="32"/>
          <w:szCs w:val="32"/>
        </w:rPr>
        <w:t xml:space="preserve"> внести соответствующие изменения путём представления уточнённой декларации (</w:t>
      </w:r>
      <w:proofErr w:type="spellStart"/>
      <w:r w:rsidRPr="00A61931">
        <w:rPr>
          <w:rFonts w:ascii="Arial" w:hAnsi="Arial" w:cs="Arial"/>
          <w:color w:val="002060"/>
          <w:sz w:val="32"/>
          <w:szCs w:val="32"/>
        </w:rPr>
        <w:t>абз</w:t>
      </w:r>
      <w:proofErr w:type="spellEnd"/>
      <w:r w:rsidRPr="00A61931">
        <w:rPr>
          <w:rFonts w:ascii="Arial" w:hAnsi="Arial" w:cs="Arial"/>
          <w:color w:val="002060"/>
          <w:sz w:val="32"/>
          <w:szCs w:val="32"/>
        </w:rPr>
        <w:t>. 2 п. 1 </w:t>
      </w:r>
      <w:hyperlink r:id="rId7" w:tgtFrame="_blank" w:history="1">
        <w:r w:rsidRPr="00A61931">
          <w:rPr>
            <w:rStyle w:val="a4"/>
            <w:rFonts w:ascii="Arial" w:hAnsi="Arial" w:cs="Arial"/>
            <w:color w:val="002060"/>
            <w:sz w:val="32"/>
            <w:szCs w:val="32"/>
            <w:u w:val="none"/>
          </w:rPr>
          <w:t>ст. 81 НК РФ</w:t>
        </w:r>
      </w:hyperlink>
      <w:r w:rsidRPr="00A61931">
        <w:rPr>
          <w:rFonts w:ascii="Arial" w:hAnsi="Arial" w:cs="Arial"/>
          <w:color w:val="002060"/>
          <w:sz w:val="32"/>
          <w:szCs w:val="32"/>
        </w:rPr>
        <w:t>).</w:t>
      </w:r>
      <w:proofErr w:type="gramEnd"/>
    </w:p>
    <w:p w:rsidR="00A61931" w:rsidRDefault="00A61931">
      <w:pPr>
        <w:rPr>
          <w:color w:val="002060"/>
          <w:sz w:val="24"/>
          <w:szCs w:val="24"/>
        </w:rPr>
      </w:pPr>
    </w:p>
    <w:p w:rsidR="00DC29B8" w:rsidRDefault="00DC29B8">
      <w:pPr>
        <w:rPr>
          <w:color w:val="002060"/>
          <w:sz w:val="24"/>
          <w:szCs w:val="24"/>
        </w:rPr>
      </w:pPr>
    </w:p>
    <w:p w:rsidR="00DC29B8" w:rsidRDefault="00DC29B8">
      <w:pPr>
        <w:rPr>
          <w:color w:val="002060"/>
          <w:sz w:val="24"/>
          <w:szCs w:val="24"/>
        </w:rPr>
      </w:pPr>
    </w:p>
    <w:p w:rsidR="00EC4E46" w:rsidRPr="00EC4E46" w:rsidRDefault="00EC4E46" w:rsidP="00EC4E46">
      <w:pPr>
        <w:shd w:val="clear" w:color="auto" w:fill="FFFFFF"/>
        <w:spacing w:before="400"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E4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10. Маргарита Николаевна К.</w:t>
      </w:r>
    </w:p>
    <w:p w:rsidR="00EC4E46" w:rsidRPr="00EC4E46" w:rsidRDefault="00EC4E46" w:rsidP="00EC4E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EC4E46" w:rsidRPr="00EC4E46" w:rsidRDefault="00EC4E46" w:rsidP="00EC4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Существенной ли считается ошибка, если Депозиты менее 3 мес</w:t>
      </w:r>
      <w:proofErr w:type="gramStart"/>
      <w:r w:rsidRPr="00EC4E4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.р</w:t>
      </w:r>
      <w:proofErr w:type="gramEnd"/>
      <w:r w:rsidRPr="00EC4E4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азмещения показаны в строке </w:t>
      </w:r>
      <w:r w:rsidRPr="00EC4E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1240</w:t>
      </w:r>
      <w:r w:rsidRPr="00EC4E4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Баланса?</w:t>
      </w:r>
    </w:p>
    <w:p w:rsidR="00EC4E46" w:rsidRPr="00EC4E46" w:rsidRDefault="00EC4E46" w:rsidP="00EC4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 какого срока можно подать корр. баланс в 2022 г.?</w:t>
      </w:r>
    </w:p>
    <w:p w:rsidR="00DC29B8" w:rsidRDefault="00DC29B8" w:rsidP="00DC29B8">
      <w:pPr>
        <w:rPr>
          <w:color w:val="002060"/>
          <w:sz w:val="32"/>
          <w:szCs w:val="32"/>
        </w:rPr>
      </w:pPr>
    </w:p>
    <w:p w:rsidR="00DC29B8" w:rsidRDefault="00DC29B8" w:rsidP="00DC29B8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По строке 1240 не показывают финансовые вложения, которые фирма применяет в качестве денежных эквивалентов (п.5 ПБУ 23/2011). Смысл приобретения денежных эквивалентов – в том, что они могут быть быстро обращены в заранее известную сумму денежных средств, принося фирме экономическую выгоду. Поэтому по своей природе они являются краткосрочными активами. Денежные эквиваленты приравниваются к денежным средствам и в балансе отражаются по строке 1250 «Денежные средства и денежные эквиваленты».</w:t>
      </w:r>
    </w:p>
    <w:p w:rsidR="00DC29B8" w:rsidRDefault="00DC29B8" w:rsidP="00DC29B8">
      <w:pPr>
        <w:rPr>
          <w:color w:val="002060"/>
          <w:sz w:val="32"/>
          <w:szCs w:val="32"/>
        </w:rPr>
      </w:pPr>
    </w:p>
    <w:p w:rsidR="00DC29B8" w:rsidRPr="00DC29B8" w:rsidRDefault="00DC29B8" w:rsidP="00DC29B8">
      <w:pPr>
        <w:rPr>
          <w:color w:val="002060"/>
          <w:sz w:val="32"/>
          <w:szCs w:val="32"/>
        </w:rPr>
      </w:pPr>
      <w:r w:rsidRPr="00DC29B8">
        <w:rPr>
          <w:color w:val="002060"/>
          <w:sz w:val="32"/>
          <w:szCs w:val="32"/>
        </w:rPr>
        <w:t>ПБУ 22/2010</w:t>
      </w:r>
    </w:p>
    <w:p w:rsidR="00DC29B8" w:rsidRPr="00DC29B8" w:rsidRDefault="00DC29B8" w:rsidP="00DC29B8">
      <w:pPr>
        <w:rPr>
          <w:color w:val="000000"/>
          <w:sz w:val="32"/>
          <w:szCs w:val="32"/>
          <w:shd w:val="clear" w:color="auto" w:fill="FFFFFF"/>
        </w:rPr>
      </w:pPr>
      <w:r w:rsidRPr="00DC29B8">
        <w:rPr>
          <w:color w:val="000000"/>
          <w:sz w:val="32"/>
          <w:szCs w:val="32"/>
          <w:shd w:val="clear" w:color="auto" w:fill="FFFFFF"/>
        </w:rPr>
        <w:lastRenderedPageBreak/>
        <w:t xml:space="preserve">3. Ошибка признается существенной, если она в отдельности или в совокупности с другими ошибками за один и тот же отчетный период может повлиять на экономические решения пользователей, принимаемые ими на основе бухгалтерской отчетности, составленной за этот отчетный период. </w:t>
      </w:r>
      <w:r w:rsidRPr="00DC29B8">
        <w:rPr>
          <w:color w:val="000000"/>
          <w:sz w:val="32"/>
          <w:szCs w:val="32"/>
          <w:highlight w:val="yellow"/>
          <w:shd w:val="clear" w:color="auto" w:fill="FFFFFF"/>
        </w:rPr>
        <w:t>Существенность ошибки организация определяет самостоятельно, исходя как из величины, так и характера соответствующей статьи (статей) бухгалтерской отчетности.</w:t>
      </w:r>
    </w:p>
    <w:p w:rsidR="00DC29B8" w:rsidRDefault="00DC29B8" w:rsidP="00DC29B8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ПБУ 4/99</w:t>
      </w:r>
    </w:p>
    <w:p w:rsidR="00DC29B8" w:rsidRDefault="00DC29B8" w:rsidP="002B4768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47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gramStart"/>
      <w:r w:rsidRPr="002B47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Статьи бухгалтерского баланса, отчета о прибылях и убытках и других отдельных форм бухгалтерской отчетности, которые в соответствии с положениями по бухгалтерскому учету подлежат раскрытию и по которым отсутствуют числовые значения активов, обязательств, доходов, расходов и иных показателей, прочеркиваются (в типовых формах) или не приводятся (в формах, разработанных самостоятельно, и в пояснительной записке).</w:t>
      </w:r>
      <w:proofErr w:type="gramEnd"/>
    </w:p>
    <w:p w:rsidR="002B4768" w:rsidRPr="002B4768" w:rsidRDefault="002B4768" w:rsidP="002B4768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29B8" w:rsidRDefault="00DC29B8" w:rsidP="002B47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7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Показатели об отдельных активах, обязательствах, доходах, расходах и хозяйственных операциях должны </w:t>
      </w:r>
      <w:proofErr w:type="gramStart"/>
      <w:r w:rsidRPr="002B476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приводиться в бухгалтерской отчетности обособленно в случае их существенности и если без знания о них заинтересованными пользователями невозможна</w:t>
      </w:r>
      <w:proofErr w:type="gramEnd"/>
      <w:r w:rsidRPr="002B47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оценка финансового положения организации или финансовых результатов ее деятельности.</w:t>
      </w:r>
    </w:p>
    <w:p w:rsidR="002B4768" w:rsidRPr="002B4768" w:rsidRDefault="002B4768" w:rsidP="002B47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9B8" w:rsidRPr="002B4768" w:rsidRDefault="00DC29B8" w:rsidP="002B47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B47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Показатели об отдельных видах активов, обязательств, доходов,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</w:t>
      </w:r>
      <w:r w:rsidRPr="002B4768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  <w:proofErr w:type="gramEnd"/>
    </w:p>
    <w:p w:rsidR="00DC29B8" w:rsidRDefault="00DC29B8" w:rsidP="00DC29B8">
      <w:pPr>
        <w:rPr>
          <w:color w:val="002060"/>
          <w:sz w:val="32"/>
          <w:szCs w:val="32"/>
        </w:rPr>
      </w:pPr>
    </w:p>
    <w:p w:rsidR="002B4768" w:rsidRDefault="002B4768" w:rsidP="00DC29B8">
      <w:pPr>
        <w:rPr>
          <w:color w:val="002060"/>
          <w:sz w:val="32"/>
          <w:szCs w:val="32"/>
        </w:rPr>
      </w:pPr>
    </w:p>
    <w:p w:rsidR="002B4768" w:rsidRDefault="002B4768" w:rsidP="00DC29B8">
      <w:pPr>
        <w:rPr>
          <w:color w:val="002060"/>
          <w:sz w:val="32"/>
          <w:szCs w:val="32"/>
        </w:rPr>
      </w:pPr>
    </w:p>
    <w:p w:rsidR="00DC29B8" w:rsidRPr="00DC29B8" w:rsidRDefault="00DC29B8" w:rsidP="00DC29B8">
      <w:pPr>
        <w:rPr>
          <w:color w:val="002060"/>
          <w:sz w:val="32"/>
          <w:szCs w:val="32"/>
        </w:rPr>
      </w:pPr>
      <w:r w:rsidRPr="00DC29B8">
        <w:rPr>
          <w:rFonts w:ascii="Arial" w:hAnsi="Arial" w:cs="Arial"/>
          <w:color w:val="002060"/>
          <w:sz w:val="32"/>
          <w:szCs w:val="32"/>
          <w:shd w:val="clear" w:color="auto" w:fill="F8F8F8"/>
        </w:rPr>
        <w:t>Уровень существенности определяется многими факторами, поскольку по своему определению это такой уровень, который может повлиять на экономические решения пользователей, принимаемые ими на основе бухгалтерской отчетности. Поэтому в учетной политике невозможно точно прописать алгоритм определения уровня существенности, а можно лишь обозначить количественные критерии.</w:t>
      </w:r>
    </w:p>
    <w:p w:rsidR="00DC29B8" w:rsidRDefault="00DC29B8" w:rsidP="00DC29B8">
      <w:pPr>
        <w:spacing w:before="100" w:beforeAutospacing="1" w:after="240" w:line="264" w:lineRule="atLeast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Уровень существенности ошибок и показателей определяется организация в каждом конкретном случае с учетом как количественных, так и качественных факторов. </w:t>
      </w:r>
    </w:p>
    <w:p w:rsidR="00DC29B8" w:rsidRPr="00DC29B8" w:rsidRDefault="00DC29B8" w:rsidP="00DC29B8">
      <w:pPr>
        <w:spacing w:before="100" w:beforeAutospacing="1" w:after="240" w:line="264" w:lineRule="atLeast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Например, </w:t>
      </w:r>
      <w:r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Количественные критерии уровня существенности установляются организацией в следующих размерах:</w:t>
      </w:r>
    </w:p>
    <w:p w:rsidR="00DC29B8" w:rsidRPr="00DC29B8" w:rsidRDefault="00FE4C6A" w:rsidP="00DC29B8">
      <w:pPr>
        <w:spacing w:after="120" w:line="240" w:lineRule="auto"/>
        <w:textAlignment w:val="baseline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DC29B8">
        <w:rPr>
          <w:rFonts w:ascii="Arial" w:eastAsia="Times New Roman" w:hAnsi="Arial" w:cs="Arial"/>
          <w:color w:val="002060"/>
          <w:sz w:val="32"/>
          <w:szCs w:val="32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8" o:title=""/>
          </v:shape>
          <w:control r:id="rId9" w:name="DefaultOcxName" w:shapeid="_x0000_i1030"/>
        </w:object>
      </w:r>
      <w:r w:rsidR="00DC29B8"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существенной считается ошибка, которая в отдельности или в совокупности с другими подобными ошибками за один и тот же отчетный период привела к искажению строки бухгалтерского баланса </w:t>
      </w:r>
      <w:proofErr w:type="gramStart"/>
      <w:r w:rsidR="00DC29B8"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proofErr w:type="gramEnd"/>
      <w:r w:rsidR="00DC29B8"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 </w:t>
      </w:r>
      <w:r w:rsidRPr="00DC29B8">
        <w:rPr>
          <w:rFonts w:ascii="Arial" w:eastAsia="Times New Roman" w:hAnsi="Arial" w:cs="Arial"/>
          <w:color w:val="002060"/>
          <w:sz w:val="32"/>
          <w:szCs w:val="32"/>
        </w:rPr>
        <w:object w:dxaOrig="360" w:dyaOrig="312">
          <v:shape id="_x0000_i1034" type="#_x0000_t75" style="width:22.8pt;height:18pt" o:ole="">
            <v:imagedata r:id="rId10" o:title=""/>
          </v:shape>
          <w:control r:id="rId11" w:name="DefaultOcxName1" w:shapeid="_x0000_i1034"/>
        </w:object>
      </w:r>
      <w:r w:rsidR="00DC29B8" w:rsidRPr="00DC29B8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 и более процентов;</w:t>
      </w:r>
      <w:r w:rsidR="00DC29B8" w:rsidRPr="00DC29B8">
        <w:rPr>
          <w:rFonts w:ascii="inherit" w:eastAsia="Times New Roman" w:hAnsi="inherit" w:cs="Arial"/>
          <w:color w:val="002060"/>
          <w:sz w:val="32"/>
          <w:szCs w:val="32"/>
          <w:lang w:eastAsia="ru-RU"/>
        </w:rPr>
        <w:t> 85% </w:t>
      </w:r>
    </w:p>
    <w:p w:rsidR="00DC29B8" w:rsidRPr="00DC29B8" w:rsidRDefault="00DC29B8" w:rsidP="00DC29B8">
      <w:pPr>
        <w:spacing w:after="0" w:line="192" w:lineRule="atLeast"/>
        <w:textAlignment w:val="baseline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DC29B8">
        <w:rPr>
          <w:rFonts w:ascii="inherit" w:eastAsia="Times New Roman" w:hAnsi="inherit" w:cs="Arial"/>
          <w:b/>
          <w:bCs/>
          <w:color w:val="002060"/>
          <w:sz w:val="32"/>
          <w:szCs w:val="32"/>
          <w:lang w:eastAsia="ru-RU"/>
        </w:rPr>
        <w:t>Основание:</w:t>
      </w:r>
      <w:r w:rsidRPr="00DC29B8">
        <w:rPr>
          <w:rFonts w:ascii="inherit" w:eastAsia="Times New Roman" w:hAnsi="inherit" w:cs="Arial"/>
          <w:color w:val="002060"/>
          <w:sz w:val="32"/>
          <w:szCs w:val="32"/>
          <w:bdr w:val="none" w:sz="0" w:space="0" w:color="auto" w:frame="1"/>
          <w:lang w:eastAsia="ru-RU"/>
        </w:rPr>
        <w:t> п. 3 ПБУ 22/2010 "Исправление ошибок в бухгалтерском учете и отчетности" (утв. Приказом Минфина РФ от 28.06.2010 г. N 63н); п. 11 ПБУ 4/99 "Бухгалтерская отчетность организации" (утв. Приказом Минфина РФ от 06.07.1999 г. N 43н)</w:t>
      </w:r>
    </w:p>
    <w:p w:rsidR="00DC29B8" w:rsidRDefault="00DC29B8" w:rsidP="00DC29B8">
      <w:pPr>
        <w:rPr>
          <w:color w:val="002060"/>
          <w:sz w:val="32"/>
          <w:szCs w:val="32"/>
        </w:rPr>
      </w:pPr>
    </w:p>
    <w:p w:rsidR="00DC29B8" w:rsidRDefault="00BA07FF" w:rsidP="00DC29B8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402-ФЗ  ст.18</w:t>
      </w:r>
    </w:p>
    <w:p w:rsidR="00BA07FF" w:rsidRDefault="00BA07FF" w:rsidP="00DC29B8">
      <w:pPr>
        <w:rPr>
          <w:color w:val="000000"/>
          <w:sz w:val="32"/>
          <w:szCs w:val="32"/>
          <w:shd w:val="clear" w:color="auto" w:fill="FFFFFF"/>
        </w:rPr>
      </w:pPr>
      <w:r w:rsidRPr="00BA07FF">
        <w:rPr>
          <w:color w:val="000000"/>
          <w:sz w:val="32"/>
          <w:szCs w:val="32"/>
          <w:shd w:val="clear" w:color="auto" w:fill="FFFFFF"/>
        </w:rPr>
        <w:t>5. Обязательный экземпляр отчетности </w:t>
      </w:r>
      <w:hyperlink r:id="rId12" w:anchor="dst100013" w:history="1">
        <w:r w:rsidRPr="00BA07FF">
          <w:rPr>
            <w:rStyle w:val="a4"/>
            <w:color w:val="1A0DAB"/>
            <w:sz w:val="32"/>
            <w:szCs w:val="32"/>
            <w:shd w:val="clear" w:color="auto" w:fill="FFFFFF"/>
          </w:rPr>
          <w:t>представляется</w:t>
        </w:r>
      </w:hyperlink>
      <w:r w:rsidRPr="00BA07FF">
        <w:rPr>
          <w:color w:val="000000"/>
          <w:sz w:val="32"/>
          <w:szCs w:val="32"/>
          <w:shd w:val="clear" w:color="auto" w:fill="FFFFFF"/>
        </w:rPr>
        <w:t xml:space="preserve"> экономическим субъектом в виде электронного документа не позднее трех месяцев после окончания отчетного периода. </w:t>
      </w:r>
      <w:proofErr w:type="gramStart"/>
      <w:r w:rsidRPr="00BA07FF">
        <w:rPr>
          <w:color w:val="000000"/>
          <w:sz w:val="32"/>
          <w:szCs w:val="32"/>
          <w:shd w:val="clear" w:color="auto" w:fill="FFFFFF"/>
        </w:rPr>
        <w:t xml:space="preserve"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</w:t>
      </w:r>
      <w:r w:rsidRPr="00BA07FF">
        <w:rPr>
          <w:color w:val="000000"/>
          <w:sz w:val="32"/>
          <w:szCs w:val="32"/>
          <w:shd w:val="clear" w:color="auto" w:fill="FFFFFF"/>
        </w:rPr>
        <w:lastRenderedPageBreak/>
        <w:t>декабря года, следующего за отчетным годом, если иное не предусмотрено другими федеральными законами.</w:t>
      </w:r>
      <w:proofErr w:type="gramEnd"/>
      <w:r w:rsidRPr="00BA07FF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BA07FF">
        <w:rPr>
          <w:color w:val="000000"/>
          <w:sz w:val="32"/>
          <w:szCs w:val="32"/>
          <w:highlight w:val="yellow"/>
          <w:shd w:val="clear" w:color="auto" w:fill="FFFFFF"/>
        </w:rPr>
        <w:t>В случае исправления экономическим субъектом ошибки в бухгалтерской (финансовой) отчетности</w:t>
      </w:r>
      <w:r w:rsidRPr="00BA07FF">
        <w:rPr>
          <w:color w:val="000000"/>
          <w:sz w:val="32"/>
          <w:szCs w:val="32"/>
          <w:shd w:val="clear" w:color="auto" w:fill="FFFFFF"/>
        </w:rPr>
        <w:t>, обязательный экземпляр которой представлен в соответствии с </w:t>
      </w:r>
      <w:hyperlink r:id="rId13" w:anchor="dst38" w:history="1">
        <w:r w:rsidRPr="00BA07FF">
          <w:rPr>
            <w:rStyle w:val="a4"/>
            <w:color w:val="1A0DAB"/>
            <w:sz w:val="32"/>
            <w:szCs w:val="32"/>
            <w:shd w:val="clear" w:color="auto" w:fill="FFFFFF"/>
          </w:rPr>
          <w:t>частью 3</w:t>
        </w:r>
      </w:hyperlink>
      <w:r w:rsidRPr="00BA07FF">
        <w:rPr>
          <w:color w:val="000000"/>
          <w:sz w:val="32"/>
          <w:szCs w:val="32"/>
          <w:shd w:val="clear" w:color="auto" w:fill="FFFFFF"/>
        </w:rPr>
        <w:t xml:space="preserve"> 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</w:t>
      </w:r>
      <w:r w:rsidRPr="00BA07FF">
        <w:rPr>
          <w:color w:val="000000"/>
          <w:sz w:val="32"/>
          <w:szCs w:val="32"/>
          <w:highlight w:val="yellow"/>
          <w:shd w:val="clear" w:color="auto" w:fill="FFFFFF"/>
        </w:rPr>
        <w:t>не позднее 31 июля года, следующего за отчетным годом.</w:t>
      </w:r>
      <w:proofErr w:type="gramEnd"/>
      <w:r w:rsidRPr="00BA07FF">
        <w:rPr>
          <w:color w:val="000000"/>
          <w:sz w:val="32"/>
          <w:szCs w:val="32"/>
          <w:shd w:val="clear" w:color="auto" w:fill="FFFFFF"/>
        </w:rPr>
        <w:t xml:space="preserve"> В случае</w:t>
      </w:r>
      <w:proofErr w:type="gramStart"/>
      <w:r w:rsidRPr="00BA07FF">
        <w:rPr>
          <w:color w:val="000000"/>
          <w:sz w:val="32"/>
          <w:szCs w:val="32"/>
          <w:shd w:val="clear" w:color="auto" w:fill="FFFFFF"/>
        </w:rPr>
        <w:t>,</w:t>
      </w:r>
      <w:proofErr w:type="gramEnd"/>
      <w:r w:rsidRPr="00BA07FF">
        <w:rPr>
          <w:color w:val="000000"/>
          <w:sz w:val="32"/>
          <w:szCs w:val="32"/>
          <w:shd w:val="clear" w:color="auto" w:fill="FFFFFF"/>
        </w:rPr>
        <w:t xml:space="preserve"> если федеральными законами и (или) учредительными документами экономического субъекта предусмотрено </w:t>
      </w:r>
      <w:r w:rsidRPr="00BA07FF">
        <w:rPr>
          <w:color w:val="000000"/>
          <w:sz w:val="32"/>
          <w:szCs w:val="32"/>
          <w:highlight w:val="yellow"/>
          <w:shd w:val="clear" w:color="auto" w:fill="FFFFFF"/>
        </w:rPr>
        <w:t>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</w:t>
      </w:r>
      <w:r w:rsidRPr="00BA07FF">
        <w:rPr>
          <w:color w:val="000000"/>
          <w:sz w:val="32"/>
          <w:szCs w:val="32"/>
          <w:shd w:val="clear" w:color="auto" w:fill="FFFFFF"/>
        </w:rPr>
        <w:t xml:space="preserve"> в соответствии с </w:t>
      </w:r>
      <w:hyperlink r:id="rId14" w:anchor="dst38" w:history="1">
        <w:r w:rsidRPr="00BA07FF">
          <w:rPr>
            <w:rStyle w:val="a4"/>
            <w:color w:val="1A0DAB"/>
            <w:sz w:val="32"/>
            <w:szCs w:val="32"/>
            <w:shd w:val="clear" w:color="auto" w:fill="FFFFFF"/>
          </w:rPr>
          <w:t>частью 3</w:t>
        </w:r>
      </w:hyperlink>
      <w:r w:rsidRPr="00BA07FF">
        <w:rPr>
          <w:color w:val="000000"/>
          <w:sz w:val="32"/>
          <w:szCs w:val="32"/>
          <w:shd w:val="clear" w:color="auto" w:fill="FFFFFF"/>
        </w:rPr>
        <w:t xml:space="preserve"> 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</w:t>
      </w:r>
      <w:r w:rsidRPr="00BA07FF">
        <w:rPr>
          <w:color w:val="000000"/>
          <w:sz w:val="32"/>
          <w:szCs w:val="32"/>
          <w:highlight w:val="yellow"/>
          <w:shd w:val="clear" w:color="auto" w:fill="FFFFFF"/>
        </w:rPr>
        <w:t>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</w:p>
    <w:p w:rsidR="00BA07FF" w:rsidRPr="00BA07FF" w:rsidRDefault="00BA07FF" w:rsidP="00DC29B8">
      <w:pPr>
        <w:rPr>
          <w:color w:val="002060"/>
          <w:sz w:val="32"/>
          <w:szCs w:val="32"/>
        </w:rPr>
      </w:pPr>
      <w:r>
        <w:rPr>
          <w:color w:val="828282"/>
          <w:shd w:val="clear" w:color="auto" w:fill="FFFFFF"/>
        </w:rPr>
        <w:t>(часть 5 в ред. Федерального </w:t>
      </w:r>
      <w:hyperlink r:id="rId15" w:anchor="dst100011" w:history="1">
        <w:r>
          <w:rPr>
            <w:rStyle w:val="a4"/>
            <w:color w:val="1A0DAB"/>
            <w:shd w:val="clear" w:color="auto" w:fill="FFFFFF"/>
          </w:rPr>
          <w:t>закона</w:t>
        </w:r>
      </w:hyperlink>
      <w:r>
        <w:rPr>
          <w:color w:val="828282"/>
          <w:shd w:val="clear" w:color="auto" w:fill="FFFFFF"/>
        </w:rPr>
        <w:t> от 30.12.2021 N 435-ФЗ)</w:t>
      </w:r>
    </w:p>
    <w:p w:rsidR="00BA07FF" w:rsidRDefault="00BA07FF" w:rsidP="00DC29B8">
      <w:pPr>
        <w:rPr>
          <w:color w:val="002060"/>
          <w:sz w:val="32"/>
          <w:szCs w:val="32"/>
        </w:rPr>
      </w:pPr>
    </w:p>
    <w:p w:rsidR="00DC29B8" w:rsidRDefault="00DC29B8" w:rsidP="00DC29B8">
      <w:pPr>
        <w:rPr>
          <w:color w:val="002060"/>
          <w:sz w:val="32"/>
          <w:szCs w:val="32"/>
        </w:rPr>
      </w:pPr>
    </w:p>
    <w:p w:rsidR="00DC29B8" w:rsidRPr="00DC29B8" w:rsidRDefault="00DC29B8" w:rsidP="00DC29B8">
      <w:pPr>
        <w:rPr>
          <w:color w:val="002060"/>
          <w:sz w:val="32"/>
          <w:szCs w:val="32"/>
        </w:rPr>
      </w:pPr>
    </w:p>
    <w:sectPr w:rsidR="00DC29B8" w:rsidRPr="00DC29B8" w:rsidSect="0054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95E"/>
    <w:rsid w:val="0025154F"/>
    <w:rsid w:val="002B4768"/>
    <w:rsid w:val="003476EC"/>
    <w:rsid w:val="004347BC"/>
    <w:rsid w:val="00544201"/>
    <w:rsid w:val="0088795E"/>
    <w:rsid w:val="00A61931"/>
    <w:rsid w:val="00BA07FF"/>
    <w:rsid w:val="00D25CAB"/>
    <w:rsid w:val="00DC29B8"/>
    <w:rsid w:val="00EC4E46"/>
    <w:rsid w:val="00FC3B66"/>
    <w:rsid w:val="00FE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01"/>
  </w:style>
  <w:style w:type="paragraph" w:styleId="1">
    <w:name w:val="heading 1"/>
    <w:basedOn w:val="a"/>
    <w:link w:val="10"/>
    <w:uiPriority w:val="9"/>
    <w:qFormat/>
    <w:rsid w:val="0088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9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1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-indent">
    <w:name w:val="no-indent"/>
    <w:basedOn w:val="a"/>
    <w:rsid w:val="002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">
    <w:name w:val="right"/>
    <w:basedOn w:val="a0"/>
    <w:rsid w:val="00DC29B8"/>
  </w:style>
  <w:style w:type="character" w:customStyle="1" w:styleId="bold">
    <w:name w:val="bold"/>
    <w:basedOn w:val="a0"/>
    <w:rsid w:val="00DC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389500/daa8e03f934e0977a8b9fb670c5a4c880badea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log.garant.ru/fns/nk/646cd7e8cf19279b078cdec8fcd89ce4/" TargetMode="External"/><Relationship Id="rId12" Type="http://schemas.openxmlformats.org/officeDocument/2006/relationships/hyperlink" Target="http://www.consultant.ru/document/cons_doc_LAW_399537/3beb40d3111997572ae5d6ac08a4050dde0cbc5f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646cd7e8cf19279b078cdec8fcd89ce4/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consultant.ru/document/cons_doc_LAW_389932/c59f84005a66a25f8fd3a50d2edba052ec705771/" TargetMode="External"/><Relationship Id="rId15" Type="http://schemas.openxmlformats.org/officeDocument/2006/relationships/hyperlink" Target="http://www.consultant.ru/document/cons_doc_LAW_405343/3d0cac60971a511280cbba229d9b6329c07731f7/" TargetMode="External"/><Relationship Id="rId10" Type="http://schemas.openxmlformats.org/officeDocument/2006/relationships/image" Target="media/image2.wmf"/><Relationship Id="rId4" Type="http://schemas.openxmlformats.org/officeDocument/2006/relationships/hyperlink" Target="http://www.consultant.ru/document/cons_doc_LAW_191033/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://www.consultant.ru/document/cons_doc_LAW_389500/daa8e03f934e0977a8b9fb670c5a4c880badea09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6</cp:revision>
  <dcterms:created xsi:type="dcterms:W3CDTF">2022-03-14T18:39:00Z</dcterms:created>
  <dcterms:modified xsi:type="dcterms:W3CDTF">2022-03-15T06:45:00Z</dcterms:modified>
</cp:coreProperties>
</file>