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2AC3" w14:textId="77777777" w:rsidR="0012340C" w:rsidRDefault="0012340C" w:rsidP="0012340C">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567"/>
        <w:jc w:val="both"/>
        <w:outlineLvl w:val="0"/>
        <w:rPr>
          <w:rFonts w:eastAsia="Times New Roman" w:cs="Times New Roman"/>
          <w:b/>
          <w:bCs/>
          <w:color w:val="000000"/>
          <w:kern w:val="36"/>
          <w:sz w:val="20"/>
          <w:szCs w:val="20"/>
          <w:lang w:eastAsia="ru-RU"/>
        </w:rPr>
      </w:pPr>
      <w:r>
        <w:rPr>
          <w:rFonts w:eastAsia="Times New Roman" w:cs="Times New Roman"/>
          <w:b/>
          <w:bCs/>
          <w:color w:val="000000"/>
          <w:kern w:val="36"/>
          <w:sz w:val="20"/>
          <w:szCs w:val="20"/>
          <w:lang w:eastAsia="ru-RU"/>
        </w:rPr>
        <w:t xml:space="preserve">Вопрос </w:t>
      </w:r>
      <w:r w:rsidR="002B1DFB" w:rsidRPr="002B1DFB">
        <w:rPr>
          <w:rFonts w:eastAsia="Times New Roman" w:cs="Times New Roman"/>
          <w:b/>
          <w:bCs/>
          <w:color w:val="000000"/>
          <w:kern w:val="36"/>
          <w:sz w:val="20"/>
          <w:szCs w:val="20"/>
          <w:lang w:eastAsia="ru-RU"/>
        </w:rPr>
        <w:t>2.</w:t>
      </w:r>
    </w:p>
    <w:p w14:paraId="2EF02C85" w14:textId="77777777" w:rsidR="002B1DFB" w:rsidRPr="002B1DFB" w:rsidRDefault="002B1DFB" w:rsidP="0012340C">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567"/>
        <w:jc w:val="both"/>
        <w:outlineLvl w:val="0"/>
        <w:rPr>
          <w:rFonts w:eastAsia="Times New Roman" w:cs="Times New Roman"/>
          <w:b/>
          <w:bCs/>
          <w:color w:val="000000"/>
          <w:kern w:val="36"/>
          <w:sz w:val="20"/>
          <w:szCs w:val="20"/>
          <w:lang w:eastAsia="ru-RU"/>
        </w:rPr>
      </w:pPr>
      <w:r w:rsidRPr="002B1DFB">
        <w:rPr>
          <w:rFonts w:eastAsia="Times New Roman" w:cs="Times New Roman"/>
          <w:b/>
          <w:bCs/>
          <w:color w:val="000000"/>
          <w:kern w:val="36"/>
          <w:sz w:val="20"/>
          <w:szCs w:val="20"/>
          <w:lang w:eastAsia="ru-RU"/>
        </w:rPr>
        <w:t>Наталья Владимировна Г.</w:t>
      </w:r>
    </w:p>
    <w:p w14:paraId="4EE8AE33"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Хотелось бы узнать о бухгалтерском учёте в потребительском кооперативе. Очень тяжело найти публикации на эту тему. Наш потребительский кооператив социальных инициатив создан в целях организации обучения детей пайщиков.</w:t>
      </w:r>
    </w:p>
    <w:p w14:paraId="4F6FCA18"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1) В Закон РФ от 19.06.1992 N 3085-1 (ред. от 02.07.2013) "О потребительской кооперации (потребительских обществах, их союзах) в Российской Федерации"</w:t>
      </w:r>
    </w:p>
    <w:p w14:paraId="0EA8E652"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Ст.3, п.1. написано «Государственные органы и органы местного самоуправления не вправе вмешиваться в хозяйственную, финансовую и иную деятельность потребительских обществ и их союзов, за исключением случаев, предусмотренных законами Российской Федерации».</w:t>
      </w:r>
    </w:p>
    <w:p w14:paraId="009884FA"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Вопрос: В каких случаях кооператив могут проверить и кто?</w:t>
      </w:r>
    </w:p>
    <w:p w14:paraId="76320C3C"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2) Согласно этого же закона кооператив может принимать от пайщиков вступительные и возвратные паевые взносы. О членских взносах в законе речи не идет, следовательно их принимать нельзя.</w:t>
      </w:r>
    </w:p>
    <w:p w14:paraId="790C5A72"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Согласно устава коммерческая деятельность не ведется.</w:t>
      </w:r>
    </w:p>
    <w:p w14:paraId="69F6CE82"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Возврат пайщикам паевого взноса происходит удовлетворением потребностей пайщиков в виде пользования услугами кооператива. Правильны ли следующие проводки?</w:t>
      </w:r>
    </w:p>
    <w:p w14:paraId="3C5D3E3F"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Дт75 Кт80 – начислены паевые взносы</w:t>
      </w:r>
    </w:p>
    <w:p w14:paraId="6029DBBD"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Дт 50,51 Кт75 – поступление паевого взноса от пайщика</w:t>
      </w:r>
    </w:p>
    <w:p w14:paraId="40DFCE3B"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Дт80 Кт86 – предоставлены услуги</w:t>
      </w:r>
    </w:p>
    <w:p w14:paraId="64F78ED7"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дт86 кт26- списана себестоимость услуг</w:t>
      </w:r>
    </w:p>
    <w:p w14:paraId="082FAD0B"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Правильно ли мы действуем? Не совсем понятно как вести хозяйственную деятельность (арендовать помещения, приглашать репетиторов и т.д.) имея только возвратные паевые взносы. Можно ли делать возвраты услугами?</w:t>
      </w:r>
    </w:p>
    <w:p w14:paraId="280E37CB"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3) Есть ли возможность принимать невозвратные целевые взносы от пайщиков?</w:t>
      </w:r>
    </w:p>
    <w:p w14:paraId="447F3472"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Можно ли принимать пожертвования, целевые взносы от непайщиков? (есть желающие)</w:t>
      </w:r>
    </w:p>
    <w:p w14:paraId="5F0BE11D"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Какие средства можно привлекать?</w:t>
      </w:r>
    </w:p>
    <w:p w14:paraId="65C7FE5C"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4) На часть паевых взносов было куплено имущество. Принято решение это имущество перевести в неделимый фонд. Д-т 80 (паевый фонд) К-т 86 (неделимый фонд). Означает ли это, что эта часть паевых взносов становится невозвратной?</w:t>
      </w:r>
    </w:p>
    <w:p w14:paraId="4475EDAF" w14:textId="77777777" w:rsidR="002B1DFB" w:rsidRPr="002B1DFB" w:rsidRDefault="002B1DFB" w:rsidP="002B1DFB">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2B1DFB">
        <w:rPr>
          <w:rFonts w:eastAsia="Times New Roman" w:cs="Times New Roman"/>
          <w:color w:val="000000"/>
          <w:sz w:val="20"/>
          <w:szCs w:val="20"/>
          <w:lang w:eastAsia="ru-RU"/>
        </w:rPr>
        <w:t>5) Начисляется ли в кооперативах амортизация на имущество?</w:t>
      </w:r>
    </w:p>
    <w:p w14:paraId="7B2C1961" w14:textId="77777777" w:rsidR="00610B19" w:rsidRPr="00E568E0" w:rsidRDefault="00610B19">
      <w:pPr>
        <w:rPr>
          <w:sz w:val="20"/>
          <w:szCs w:val="20"/>
        </w:rPr>
      </w:pPr>
    </w:p>
    <w:p w14:paraId="65D69107" w14:textId="77777777" w:rsidR="002B1DFB" w:rsidRPr="0012340C" w:rsidRDefault="0012340C">
      <w:pPr>
        <w:rPr>
          <w:b/>
          <w:sz w:val="20"/>
          <w:szCs w:val="20"/>
        </w:rPr>
      </w:pPr>
      <w:r w:rsidRPr="0012340C">
        <w:rPr>
          <w:b/>
          <w:sz w:val="20"/>
          <w:szCs w:val="20"/>
        </w:rPr>
        <w:t>ГК РФ</w:t>
      </w:r>
    </w:p>
    <w:p w14:paraId="73869DDE" w14:textId="77777777" w:rsidR="0012340C" w:rsidRPr="0012340C" w:rsidRDefault="0012340C" w:rsidP="0012340C">
      <w:pPr>
        <w:spacing w:after="0" w:line="240" w:lineRule="auto"/>
        <w:jc w:val="center"/>
        <w:rPr>
          <w:rFonts w:eastAsia="Times New Roman" w:cs="Arial"/>
          <w:b/>
          <w:bCs/>
          <w:sz w:val="20"/>
          <w:szCs w:val="20"/>
          <w:lang w:eastAsia="ru-RU"/>
        </w:rPr>
      </w:pPr>
      <w:r w:rsidRPr="0012340C">
        <w:rPr>
          <w:rFonts w:eastAsia="Times New Roman" w:cs="Arial"/>
          <w:b/>
          <w:bCs/>
          <w:sz w:val="20"/>
          <w:szCs w:val="20"/>
          <w:lang w:eastAsia="ru-RU"/>
        </w:rPr>
        <w:t>2. Потребительский кооператив</w:t>
      </w:r>
    </w:p>
    <w:p w14:paraId="0E63562C"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 </w:t>
      </w:r>
    </w:p>
    <w:p w14:paraId="13ED87AA"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Arial"/>
          <w:b/>
          <w:bCs/>
          <w:sz w:val="20"/>
          <w:szCs w:val="20"/>
          <w:lang w:eastAsia="ru-RU"/>
        </w:rPr>
        <w:t>Статья 123.2. Основные положения о потребительском кооперативе</w:t>
      </w:r>
    </w:p>
    <w:p w14:paraId="1A7A48A5"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 </w:t>
      </w:r>
    </w:p>
    <w:p w14:paraId="6041AB25"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 xml:space="preserve">1. Потребительским кооперативом признается основанное на членстве добровольное объединение граждан или граждан и юридических </w:t>
      </w:r>
      <w:r w:rsidRPr="0012340C">
        <w:rPr>
          <w:rFonts w:eastAsia="Times New Roman" w:cs="Times New Roman"/>
          <w:b/>
          <w:sz w:val="20"/>
          <w:szCs w:val="20"/>
          <w:lang w:eastAsia="ru-RU"/>
        </w:rPr>
        <w:t>лиц в целях удовлетворения их материальных и иных потребностей, осуществляемое путем объединения его членами имущественных паевых взносов</w:t>
      </w:r>
      <w:r w:rsidRPr="0012340C">
        <w:rPr>
          <w:rFonts w:eastAsia="Times New Roman" w:cs="Times New Roman"/>
          <w:sz w:val="20"/>
          <w:szCs w:val="20"/>
          <w:lang w:eastAsia="ru-RU"/>
        </w:rPr>
        <w:t>. Общество взаимного страхования может быть основано на членстве юридических лиц.</w:t>
      </w:r>
    </w:p>
    <w:p w14:paraId="524F960A"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 xml:space="preserve">2. </w:t>
      </w:r>
      <w:r w:rsidRPr="0012340C">
        <w:rPr>
          <w:rFonts w:eastAsia="Times New Roman" w:cs="Times New Roman"/>
          <w:b/>
          <w:sz w:val="20"/>
          <w:szCs w:val="20"/>
          <w:lang w:eastAsia="ru-RU"/>
        </w:rPr>
        <w:t>Устав потребительского кооператива</w:t>
      </w:r>
      <w:r w:rsidRPr="0012340C">
        <w:rPr>
          <w:rFonts w:eastAsia="Times New Roman" w:cs="Times New Roman"/>
          <w:sz w:val="20"/>
          <w:szCs w:val="20"/>
          <w:lang w:eastAsia="ru-RU"/>
        </w:rPr>
        <w:t xml:space="preserve"> должен содержать сведения о наименовании и месте нахождения кооператива, предмете и целях его деятельности, </w:t>
      </w:r>
      <w:r w:rsidRPr="0012340C">
        <w:rPr>
          <w:rFonts w:eastAsia="Times New Roman" w:cs="Times New Roman"/>
          <w:b/>
          <w:sz w:val="20"/>
          <w:szCs w:val="20"/>
          <w:lang w:eastAsia="ru-RU"/>
        </w:rPr>
        <w:t>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w:t>
      </w:r>
      <w:r w:rsidRPr="0012340C">
        <w:rPr>
          <w:rFonts w:eastAsia="Times New Roman" w:cs="Times New Roman"/>
          <w:sz w:val="20"/>
          <w:szCs w:val="20"/>
          <w:lang w:eastAsia="ru-RU"/>
        </w:rPr>
        <w:t xml:space="preserve">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14:paraId="523BD12D"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14:paraId="5BD4997E"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w:t>
      </w:r>
      <w:r w:rsidRPr="0012340C">
        <w:rPr>
          <w:rFonts w:eastAsia="Times New Roman" w:cs="Times New Roman"/>
          <w:sz w:val="20"/>
          <w:szCs w:val="20"/>
          <w:lang w:eastAsia="ru-RU"/>
        </w:rPr>
        <w:lastRenderedPageBreak/>
        <w:t>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14:paraId="06115111"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 </w:t>
      </w:r>
    </w:p>
    <w:p w14:paraId="615FA7EE"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Arial"/>
          <w:b/>
          <w:bCs/>
          <w:sz w:val="20"/>
          <w:szCs w:val="20"/>
          <w:lang w:eastAsia="ru-RU"/>
        </w:rPr>
        <w:t>Статья 123.3. Обязанность членов потребительского кооператива по внесению дополнительных взносов</w:t>
      </w:r>
    </w:p>
    <w:p w14:paraId="2DBA3C7D"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 </w:t>
      </w:r>
    </w:p>
    <w:p w14:paraId="5CAF57E2"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14:paraId="4DCB5616" w14:textId="77777777" w:rsidR="0012340C" w:rsidRPr="0012340C" w:rsidRDefault="0012340C" w:rsidP="0012340C">
      <w:pPr>
        <w:spacing w:after="0" w:line="240" w:lineRule="auto"/>
        <w:ind w:firstLine="540"/>
        <w:jc w:val="both"/>
        <w:rPr>
          <w:rFonts w:eastAsia="Times New Roman" w:cs="Times New Roman"/>
          <w:sz w:val="20"/>
          <w:szCs w:val="20"/>
          <w:lang w:eastAsia="ru-RU"/>
        </w:rPr>
      </w:pPr>
      <w:r w:rsidRPr="0012340C">
        <w:rPr>
          <w:rFonts w:eastAsia="Times New Roman" w:cs="Times New Roman"/>
          <w:sz w:val="20"/>
          <w:szCs w:val="20"/>
          <w:lang w:eastAsia="ru-RU"/>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0CB273CB" w14:textId="77777777" w:rsidR="0012340C" w:rsidRPr="0012340C" w:rsidRDefault="0012340C">
      <w:pPr>
        <w:rPr>
          <w:sz w:val="20"/>
          <w:szCs w:val="20"/>
        </w:rPr>
      </w:pPr>
    </w:p>
    <w:p w14:paraId="3510F881" w14:textId="77777777" w:rsidR="00A0049C" w:rsidRDefault="00A0049C">
      <w:pPr>
        <w:rPr>
          <w:sz w:val="20"/>
          <w:szCs w:val="20"/>
        </w:rPr>
      </w:pPr>
      <w:r>
        <w:rPr>
          <w:sz w:val="20"/>
          <w:szCs w:val="20"/>
        </w:rPr>
        <w:br w:type="page"/>
      </w:r>
    </w:p>
    <w:p w14:paraId="671A4AD2" w14:textId="77777777" w:rsidR="00A0049C" w:rsidRDefault="00A0049C" w:rsidP="00A0049C">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567"/>
        <w:jc w:val="both"/>
        <w:outlineLvl w:val="0"/>
        <w:rPr>
          <w:rFonts w:eastAsia="Times New Roman" w:cs="Times New Roman"/>
          <w:b/>
          <w:bCs/>
          <w:color w:val="000000"/>
          <w:kern w:val="36"/>
          <w:sz w:val="20"/>
          <w:szCs w:val="20"/>
          <w:lang w:eastAsia="ru-RU"/>
        </w:rPr>
      </w:pPr>
      <w:r>
        <w:rPr>
          <w:rFonts w:eastAsia="Times New Roman" w:cs="Times New Roman"/>
          <w:b/>
          <w:bCs/>
          <w:color w:val="000000"/>
          <w:kern w:val="36"/>
          <w:sz w:val="20"/>
          <w:szCs w:val="20"/>
          <w:lang w:eastAsia="ru-RU"/>
        </w:rPr>
        <w:lastRenderedPageBreak/>
        <w:t xml:space="preserve">Вопрос </w:t>
      </w:r>
      <w:r w:rsidRPr="00A0049C">
        <w:rPr>
          <w:rFonts w:eastAsia="Times New Roman" w:cs="Times New Roman"/>
          <w:b/>
          <w:bCs/>
          <w:color w:val="000000"/>
          <w:kern w:val="36"/>
          <w:sz w:val="20"/>
          <w:szCs w:val="20"/>
          <w:lang w:eastAsia="ru-RU"/>
        </w:rPr>
        <w:t>7.</w:t>
      </w:r>
    </w:p>
    <w:p w14:paraId="76B551F2" w14:textId="77777777" w:rsidR="00A0049C" w:rsidRPr="00A0049C" w:rsidRDefault="00A0049C" w:rsidP="00A0049C">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567"/>
        <w:jc w:val="both"/>
        <w:outlineLvl w:val="0"/>
        <w:rPr>
          <w:rFonts w:eastAsia="Times New Roman" w:cs="Times New Roman"/>
          <w:b/>
          <w:bCs/>
          <w:kern w:val="36"/>
          <w:sz w:val="20"/>
          <w:szCs w:val="20"/>
          <w:lang w:eastAsia="ru-RU"/>
        </w:rPr>
      </w:pPr>
      <w:r w:rsidRPr="00A0049C">
        <w:rPr>
          <w:rFonts w:eastAsia="Times New Roman" w:cs="Times New Roman"/>
          <w:b/>
          <w:bCs/>
          <w:color w:val="000000"/>
          <w:kern w:val="36"/>
          <w:sz w:val="20"/>
          <w:szCs w:val="20"/>
          <w:lang w:eastAsia="ru-RU"/>
        </w:rPr>
        <w:t>Ольга Сергеевна А.</w:t>
      </w:r>
    </w:p>
    <w:p w14:paraId="2515B431" w14:textId="77777777" w:rsidR="00A0049C" w:rsidRPr="00A0049C" w:rsidRDefault="00A0049C" w:rsidP="00A0049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Вопрос по ФСБУ 6/2020.</w:t>
      </w:r>
    </w:p>
    <w:p w14:paraId="4CAE7844" w14:textId="77777777" w:rsidR="00A0049C" w:rsidRPr="00A0049C" w:rsidRDefault="00A0049C" w:rsidP="00A0049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Каким образом НКО произвести переход на ФСБУ 6/2020 по ОС принятым на учет ранее 01.01.2022 года?</w:t>
      </w:r>
    </w:p>
    <w:p w14:paraId="5C48B8F2" w14:textId="77777777" w:rsidR="00A0049C" w:rsidRPr="00A0049C" w:rsidRDefault="00A0049C" w:rsidP="00A0049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А именно:</w:t>
      </w:r>
    </w:p>
    <w:p w14:paraId="6CEBF97F" w14:textId="77777777" w:rsidR="00A0049C" w:rsidRPr="00A0049C" w:rsidRDefault="00A0049C" w:rsidP="00A0049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1. как корректно поступить со счётом 83?</w:t>
      </w:r>
    </w:p>
    <w:p w14:paraId="33CF7852" w14:textId="77777777" w:rsidR="00A0049C" w:rsidRPr="00A0049C" w:rsidRDefault="00A0049C" w:rsidP="00A0049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2. каким образом начислять амортизацию по объектам, принятым на учет до 01.01.2022 года, если на 86-й и 83-м счетах уже отражена вся сумма?</w:t>
      </w:r>
    </w:p>
    <w:p w14:paraId="3947ACF1" w14:textId="77777777" w:rsidR="00A0049C" w:rsidRPr="00A0049C" w:rsidRDefault="00A0049C" w:rsidP="00A0049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3. Каким образом начислять амортизацию по новым объектам, если все еще необходимо отражать ОС на 83-м в 100% сумме, и проводки корреспондирующие с 83 - это дебет 86-го счета?</w:t>
      </w:r>
    </w:p>
    <w:p w14:paraId="0DC27A83" w14:textId="77777777" w:rsidR="002B1DFB" w:rsidRDefault="002B1DFB">
      <w:pPr>
        <w:rPr>
          <w:sz w:val="20"/>
          <w:szCs w:val="20"/>
        </w:rPr>
      </w:pPr>
    </w:p>
    <w:p w14:paraId="78E2A8B6" w14:textId="77777777" w:rsidR="00A0049C" w:rsidRDefault="005E16E4">
      <w:pPr>
        <w:rPr>
          <w:sz w:val="20"/>
          <w:szCs w:val="20"/>
        </w:rPr>
      </w:pPr>
      <w:hyperlink r:id="rId5" w:history="1">
        <w:r w:rsidR="00A0049C" w:rsidRPr="00124E3C">
          <w:rPr>
            <w:rStyle w:val="a3"/>
            <w:sz w:val="20"/>
            <w:szCs w:val="20"/>
          </w:rPr>
          <w:t>http://bmcenter.ru/Files/R_NKO_Perehod_na_movuy_poryadok_uchette_OS_v_NKO</w:t>
        </w:r>
      </w:hyperlink>
    </w:p>
    <w:p w14:paraId="2A6F4601" w14:textId="77777777" w:rsidR="00A0049C" w:rsidRDefault="00A0049C">
      <w:pPr>
        <w:rPr>
          <w:rStyle w:val="a4"/>
          <w:sz w:val="20"/>
          <w:szCs w:val="20"/>
          <w:bdr w:val="none" w:sz="0" w:space="0" w:color="auto" w:frame="1"/>
        </w:rPr>
      </w:pPr>
      <w:r w:rsidRPr="00A0049C">
        <w:rPr>
          <w:rStyle w:val="a4"/>
          <w:sz w:val="20"/>
          <w:szCs w:val="20"/>
          <w:bdr w:val="none" w:sz="0" w:space="0" w:color="auto" w:frame="1"/>
        </w:rPr>
        <w:t>РЕКОМЕНДАЦИЯ Р-135/2022-ОК НКО «ПЕРЕХОД НА НОВЫЙ ПОРЯДОК УЧЕТА ОСНОВНЫХ СРЕДСТВ В НЕКОММЕРЧЕСКИХ ОРГАНИЗАЦИЯХ»</w:t>
      </w:r>
    </w:p>
    <w:p w14:paraId="09DD5FD2" w14:textId="77777777" w:rsidR="00A0049C" w:rsidRPr="00A0049C" w:rsidRDefault="00A0049C" w:rsidP="00A0049C">
      <w:pPr>
        <w:pStyle w:val="a5"/>
        <w:shd w:val="clear" w:color="auto" w:fill="FFFFFF"/>
        <w:spacing w:before="0" w:beforeAutospacing="0" w:after="0" w:afterAutospacing="0"/>
        <w:textAlignment w:val="baseline"/>
        <w:rPr>
          <w:rFonts w:ascii="Verdana" w:hAnsi="Verdana"/>
          <w:sz w:val="21"/>
          <w:szCs w:val="21"/>
        </w:rPr>
      </w:pPr>
      <w:r w:rsidRPr="00A0049C">
        <w:rPr>
          <w:rStyle w:val="a4"/>
          <w:rFonts w:ascii="Verdana" w:hAnsi="Verdana"/>
          <w:sz w:val="21"/>
          <w:szCs w:val="21"/>
          <w:bdr w:val="none" w:sz="0" w:space="0" w:color="auto" w:frame="1"/>
        </w:rPr>
        <w:t>РЕШЕНИЕ</w:t>
      </w:r>
    </w:p>
    <w:p w14:paraId="0CB1AB66" w14:textId="77777777" w:rsidR="00A0049C" w:rsidRPr="00A0049C" w:rsidRDefault="00A0049C" w:rsidP="00A0049C">
      <w:pPr>
        <w:pStyle w:val="a5"/>
        <w:shd w:val="clear" w:color="auto" w:fill="FFFFFF"/>
        <w:spacing w:before="0" w:beforeAutospacing="0" w:after="0" w:afterAutospacing="0"/>
        <w:jc w:val="both"/>
        <w:textAlignment w:val="baseline"/>
        <w:rPr>
          <w:rFonts w:asciiTheme="minorHAnsi" w:hAnsiTheme="minorHAnsi"/>
          <w:sz w:val="20"/>
          <w:szCs w:val="20"/>
        </w:rPr>
      </w:pPr>
      <w:r w:rsidRPr="00A0049C">
        <w:rPr>
          <w:rStyle w:val="a4"/>
          <w:rFonts w:asciiTheme="minorHAnsi" w:hAnsiTheme="minorHAnsi"/>
          <w:sz w:val="20"/>
          <w:szCs w:val="20"/>
          <w:bdr w:val="none" w:sz="0" w:space="0" w:color="auto" w:frame="1"/>
        </w:rPr>
        <w:t>1. </w:t>
      </w:r>
      <w:r w:rsidRPr="00A0049C">
        <w:rPr>
          <w:rFonts w:asciiTheme="minorHAnsi" w:hAnsiTheme="minorHAnsi"/>
          <w:sz w:val="20"/>
          <w:szCs w:val="20"/>
          <w:bdr w:val="none" w:sz="0" w:space="0" w:color="auto" w:frame="1"/>
        </w:rPr>
        <w:t xml:space="preserve">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r w:rsidRPr="00A0049C">
        <w:rPr>
          <w:rFonts w:asciiTheme="minorHAnsi" w:hAnsiTheme="minorHAnsi"/>
          <w:b/>
          <w:sz w:val="20"/>
          <w:szCs w:val="20"/>
          <w:bdr w:val="none" w:sz="0" w:space="0" w:color="auto" w:frame="1"/>
        </w:rPr>
        <w:t>пунктом 48 Стандарта</w:t>
      </w:r>
      <w:r w:rsidRPr="00A0049C">
        <w:rPr>
          <w:rFonts w:asciiTheme="minorHAnsi" w:hAnsiTheme="minorHAnsi"/>
          <w:sz w:val="20"/>
          <w:szCs w:val="20"/>
          <w:bdr w:val="none" w:sz="0" w:space="0" w:color="auto" w:frame="1"/>
        </w:rPr>
        <w:t>, рассчитывает все составляющие балансовой стоимости основных средств, указанные в пункте 25 Стандарта, – первоначальную стоимость, накопленную амортизацию и накопленное обесценение, – на начало отчетного периода, начиная с которого применяет Стандарт, как если бы Стандарт применялся с момента возникновения затрагиваемых им фактов хозяйственной жизни, а также пересчитывает эти же величины на начало периода, предшествующего отчетному, и корректирует связанные с ними показатели за период, предшествующий отчетному. Накопленный за балансом износ основных средств списывается.</w:t>
      </w:r>
    </w:p>
    <w:p w14:paraId="17090CB3" w14:textId="77777777" w:rsidR="00A0049C" w:rsidRPr="00A0049C" w:rsidRDefault="00A0049C" w:rsidP="00A0049C">
      <w:pPr>
        <w:pStyle w:val="a5"/>
        <w:shd w:val="clear" w:color="auto" w:fill="FFFFFF"/>
        <w:spacing w:before="0" w:beforeAutospacing="0" w:after="0" w:afterAutospacing="0"/>
        <w:jc w:val="both"/>
        <w:textAlignment w:val="baseline"/>
        <w:rPr>
          <w:rFonts w:asciiTheme="minorHAnsi" w:hAnsiTheme="minorHAnsi"/>
          <w:sz w:val="20"/>
          <w:szCs w:val="20"/>
        </w:rPr>
      </w:pPr>
      <w:r w:rsidRPr="00A0049C">
        <w:rPr>
          <w:rStyle w:val="a4"/>
          <w:rFonts w:asciiTheme="minorHAnsi" w:hAnsiTheme="minorHAnsi"/>
          <w:sz w:val="20"/>
          <w:szCs w:val="20"/>
          <w:bdr w:val="none" w:sz="0" w:space="0" w:color="auto" w:frame="1"/>
        </w:rPr>
        <w:t>2.</w:t>
      </w:r>
      <w:r>
        <w:rPr>
          <w:rStyle w:val="a4"/>
          <w:rFonts w:asciiTheme="minorHAnsi" w:hAnsiTheme="minorHAnsi"/>
          <w:sz w:val="20"/>
          <w:szCs w:val="20"/>
          <w:bdr w:val="none" w:sz="0" w:space="0" w:color="auto" w:frame="1"/>
        </w:rPr>
        <w:t> </w:t>
      </w:r>
      <w:r w:rsidRPr="00A0049C">
        <w:rPr>
          <w:rFonts w:asciiTheme="minorHAnsi" w:hAnsiTheme="minorHAnsi"/>
          <w:sz w:val="20"/>
          <w:szCs w:val="20"/>
          <w:bdr w:val="none" w:sz="0" w:space="0" w:color="auto" w:frame="1"/>
        </w:rPr>
        <w:t xml:space="preserve">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r w:rsidRPr="00A0049C">
        <w:rPr>
          <w:rFonts w:asciiTheme="minorHAnsi" w:hAnsiTheme="minorHAnsi"/>
          <w:b/>
          <w:sz w:val="20"/>
          <w:szCs w:val="20"/>
          <w:bdr w:val="none" w:sz="0" w:space="0" w:color="auto" w:frame="1"/>
        </w:rPr>
        <w:t>пунктом 49 Стандарта</w:t>
      </w:r>
      <w:r w:rsidRPr="00A0049C">
        <w:rPr>
          <w:rFonts w:asciiTheme="minorHAnsi" w:hAnsiTheme="minorHAnsi"/>
          <w:sz w:val="20"/>
          <w:szCs w:val="20"/>
          <w:bdr w:val="none" w:sz="0" w:space="0" w:color="auto" w:frame="1"/>
        </w:rPr>
        <w:t>, признает на начало отчетного периода, начиная с которого применяет Стандарт, накопленную амортизацию, определяя ее в соответствии со Стандартом исходя из первоначальной стоимости, признанной до начала применения Стандарта в соответствии с ранее применявшейся учетной политикой, ликвидационной стоимости и соотношения истекшего и оставшегося срока полезного использования, определенного в соответствии со Стандартом. При этом другие составляющие балансовой стоимости основных средств не пересчитываются, сравнительные показатели за период, предшествующий отчетному, также не пересчитываются. Накопленный за балансом износ основных средств списывается.</w:t>
      </w:r>
    </w:p>
    <w:p w14:paraId="5138DBAF" w14:textId="77777777" w:rsidR="00A0049C" w:rsidRPr="00A0049C" w:rsidRDefault="00A0049C" w:rsidP="00A0049C">
      <w:pPr>
        <w:pStyle w:val="a5"/>
        <w:shd w:val="clear" w:color="auto" w:fill="FFFFFF"/>
        <w:spacing w:before="0" w:beforeAutospacing="0" w:after="0" w:afterAutospacing="0"/>
        <w:jc w:val="both"/>
        <w:textAlignment w:val="baseline"/>
        <w:rPr>
          <w:rFonts w:asciiTheme="minorHAnsi" w:hAnsiTheme="minorHAnsi"/>
          <w:sz w:val="20"/>
          <w:szCs w:val="20"/>
        </w:rPr>
      </w:pPr>
      <w:r w:rsidRPr="00A0049C">
        <w:rPr>
          <w:rStyle w:val="a4"/>
          <w:rFonts w:asciiTheme="minorHAnsi" w:hAnsiTheme="minorHAnsi"/>
          <w:sz w:val="20"/>
          <w:szCs w:val="20"/>
          <w:bdr w:val="none" w:sz="0" w:space="0" w:color="auto" w:frame="1"/>
        </w:rPr>
        <w:t>3.</w:t>
      </w:r>
      <w:r>
        <w:rPr>
          <w:rStyle w:val="a4"/>
          <w:rFonts w:asciiTheme="minorHAnsi" w:hAnsiTheme="minorHAnsi"/>
          <w:sz w:val="20"/>
          <w:szCs w:val="20"/>
          <w:bdr w:val="none" w:sz="0" w:space="0" w:color="auto" w:frame="1"/>
        </w:rPr>
        <w:t> </w:t>
      </w:r>
      <w:r w:rsidRPr="00A0049C">
        <w:rPr>
          <w:rFonts w:asciiTheme="minorHAnsi" w:hAnsiTheme="minorHAnsi"/>
          <w:sz w:val="20"/>
          <w:szCs w:val="20"/>
          <w:bdr w:val="none" w:sz="0" w:space="0" w:color="auto" w:frame="1"/>
        </w:rPr>
        <w:t xml:space="preserve">Некоммерческая организация, принявшая решение отражать последствия изменений учетной политики в связи с началом применения ФСБУ 6/2020 в соответствии с </w:t>
      </w:r>
      <w:r w:rsidRPr="00A0049C">
        <w:rPr>
          <w:rFonts w:asciiTheme="minorHAnsi" w:hAnsiTheme="minorHAnsi"/>
          <w:b/>
          <w:sz w:val="20"/>
          <w:szCs w:val="20"/>
          <w:bdr w:val="none" w:sz="0" w:space="0" w:color="auto" w:frame="1"/>
        </w:rPr>
        <w:t>пунктом 51 Стандарта</w:t>
      </w:r>
      <w:r w:rsidRPr="00A0049C">
        <w:rPr>
          <w:rFonts w:asciiTheme="minorHAnsi" w:hAnsiTheme="minorHAnsi"/>
          <w:sz w:val="20"/>
          <w:szCs w:val="20"/>
          <w:bdr w:val="none" w:sz="0" w:space="0" w:color="auto" w:frame="1"/>
        </w:rPr>
        <w:t>, сохраняет все составляющие балансовой стоимости основных средств в тех суммах, в которых они сформировались в бухгалтерском учете некоммерческой организации до начала применения Стандарта в соответствии с ранее применявшейся учетной политикой. При этом с начала отчетного периода, начиная с которого некоммерческая организация применяет Стандарт, накопленный за балансом износ основных средств считается накопленной амортизацией этих основных средств. В этой связи, начиная с указанного момента, такая накопленная амортизация (бывший накопленный износ) вычитается из первоначальной стоимости основного средства в целях определения его балансовой стоимости в соответствии с пунктом 25 Стандарта.</w:t>
      </w:r>
    </w:p>
    <w:p w14:paraId="0D50AC4F" w14:textId="77777777" w:rsidR="00A0049C" w:rsidRPr="00A0049C" w:rsidRDefault="00A0049C" w:rsidP="00A0049C">
      <w:pPr>
        <w:pStyle w:val="a5"/>
        <w:shd w:val="clear" w:color="auto" w:fill="FFFFFF"/>
        <w:spacing w:before="0" w:beforeAutospacing="0" w:after="0" w:afterAutospacing="0"/>
        <w:jc w:val="both"/>
        <w:textAlignment w:val="baseline"/>
        <w:rPr>
          <w:rFonts w:asciiTheme="minorHAnsi" w:hAnsiTheme="minorHAnsi"/>
          <w:sz w:val="20"/>
          <w:szCs w:val="20"/>
        </w:rPr>
      </w:pPr>
      <w:r w:rsidRPr="00A0049C">
        <w:rPr>
          <w:rStyle w:val="a4"/>
          <w:rFonts w:asciiTheme="minorHAnsi" w:hAnsiTheme="minorHAnsi"/>
          <w:sz w:val="20"/>
          <w:szCs w:val="20"/>
          <w:bdr w:val="none" w:sz="0" w:space="0" w:color="auto" w:frame="1"/>
        </w:rPr>
        <w:t>4. </w:t>
      </w:r>
      <w:r w:rsidRPr="00A0049C">
        <w:rPr>
          <w:rFonts w:asciiTheme="minorHAnsi" w:hAnsiTheme="minorHAnsi"/>
          <w:sz w:val="20"/>
          <w:szCs w:val="20"/>
          <w:bdr w:val="none" w:sz="0" w:space="0" w:color="auto" w:frame="1"/>
        </w:rPr>
        <w:t xml:space="preserve">В случае если организация до начала применения ФСБУ 6/2020 увязывала порядок учета какой-либо статьи (статей) целевого финансирования бухгалтерского баланса (например, «Фонд недвижимого и особо ценного движимого имущества» или «Целевые средства») с порядком учета основных средств, </w:t>
      </w:r>
      <w:r w:rsidRPr="00A0049C">
        <w:rPr>
          <w:rFonts w:asciiTheme="minorHAnsi" w:hAnsiTheme="minorHAnsi"/>
          <w:b/>
          <w:sz w:val="20"/>
          <w:szCs w:val="20"/>
          <w:bdr w:val="none" w:sz="0" w:space="0" w:color="auto" w:frame="1"/>
        </w:rPr>
        <w:t>такая организация должна принять решение о целесообразности</w:t>
      </w:r>
      <w:r w:rsidRPr="00A0049C">
        <w:rPr>
          <w:rFonts w:asciiTheme="minorHAnsi" w:hAnsiTheme="minorHAnsi"/>
          <w:sz w:val="20"/>
          <w:szCs w:val="20"/>
          <w:bdr w:val="none" w:sz="0" w:space="0" w:color="auto" w:frame="1"/>
        </w:rPr>
        <w:t xml:space="preserve"> дальнейшего формирования такой статьи (статей) в условиях нового порядка учета основных средств с 1 января 2022 года с учетом необходимости определения их балансовой стоимости в соответствии с пунктом 25 ФСБУ 6/2020.</w:t>
      </w:r>
    </w:p>
    <w:p w14:paraId="6AEEFD1B" w14:textId="77777777" w:rsidR="00A0049C" w:rsidRPr="00A0049C" w:rsidRDefault="00A0049C" w:rsidP="00A0049C">
      <w:pPr>
        <w:pStyle w:val="a5"/>
        <w:shd w:val="clear" w:color="auto" w:fill="FFFFFF"/>
        <w:spacing w:before="0" w:beforeAutospacing="0" w:after="0" w:afterAutospacing="0"/>
        <w:jc w:val="both"/>
        <w:textAlignment w:val="baseline"/>
        <w:rPr>
          <w:rFonts w:asciiTheme="minorHAnsi" w:hAnsiTheme="minorHAnsi"/>
          <w:sz w:val="20"/>
          <w:szCs w:val="20"/>
        </w:rPr>
      </w:pPr>
      <w:r w:rsidRPr="00A0049C">
        <w:rPr>
          <w:rStyle w:val="a4"/>
          <w:rFonts w:asciiTheme="minorHAnsi" w:hAnsiTheme="minorHAnsi"/>
          <w:sz w:val="20"/>
          <w:szCs w:val="20"/>
          <w:bdr w:val="none" w:sz="0" w:space="0" w:color="auto" w:frame="1"/>
        </w:rPr>
        <w:t>5. </w:t>
      </w:r>
      <w:r w:rsidRPr="00A0049C">
        <w:rPr>
          <w:rFonts w:asciiTheme="minorHAnsi" w:hAnsiTheme="minorHAnsi"/>
          <w:sz w:val="20"/>
          <w:szCs w:val="20"/>
          <w:bdr w:val="none" w:sz="0" w:space="0" w:color="auto" w:frame="1"/>
        </w:rPr>
        <w:t xml:space="preserve">Сальдированный результат корректировки составляющих балансовой стоимости основных средств в соответствии с пунктами 1 – 3 настоящей Рекомендации в части влияния на чистые активы некоммерческой организации относится на статью (статьи) целевого финансирования бухгалтерского баланса некоммерческой организации («Целевой капитал», «Целевые средства», «Фонд недвижимого и особо ценного движимого имущества», «Резервный и иные целевые фонды» или др.). При этом некоммерческая организация самостоятельно определяет статью (статьи) целевого финансирования, на которые относится </w:t>
      </w:r>
      <w:r w:rsidRPr="00A0049C">
        <w:rPr>
          <w:rFonts w:asciiTheme="minorHAnsi" w:hAnsiTheme="minorHAnsi"/>
          <w:sz w:val="20"/>
          <w:szCs w:val="20"/>
          <w:bdr w:val="none" w:sz="0" w:space="0" w:color="auto" w:frame="1"/>
        </w:rPr>
        <w:lastRenderedPageBreak/>
        <w:t>этот результат, сообразно своей учетной политике в отношении этих статей исходя из их экономического содержания, с учетом решения, принятого в соответствии с пунктом 4 настоящей Рекомендации.</w:t>
      </w:r>
    </w:p>
    <w:p w14:paraId="6D70EDAA" w14:textId="77777777" w:rsidR="00A0049C" w:rsidRDefault="00A0049C">
      <w:pPr>
        <w:rPr>
          <w:sz w:val="20"/>
          <w:szCs w:val="20"/>
        </w:rPr>
      </w:pPr>
      <w:r>
        <w:rPr>
          <w:sz w:val="20"/>
          <w:szCs w:val="20"/>
        </w:rPr>
        <w:br w:type="page"/>
      </w:r>
    </w:p>
    <w:p w14:paraId="205A9283" w14:textId="77777777" w:rsidR="00C34187" w:rsidRDefault="00C34187" w:rsidP="00C34187">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567"/>
        <w:jc w:val="both"/>
        <w:outlineLvl w:val="0"/>
        <w:rPr>
          <w:rFonts w:eastAsia="Times New Roman" w:cs="Times New Roman"/>
          <w:b/>
          <w:bCs/>
          <w:color w:val="000000"/>
          <w:kern w:val="36"/>
          <w:sz w:val="20"/>
          <w:szCs w:val="20"/>
          <w:lang w:eastAsia="ru-RU"/>
        </w:rPr>
      </w:pPr>
      <w:r>
        <w:rPr>
          <w:rFonts w:eastAsia="Times New Roman" w:cs="Times New Roman"/>
          <w:b/>
          <w:bCs/>
          <w:color w:val="000000"/>
          <w:kern w:val="36"/>
          <w:sz w:val="20"/>
          <w:szCs w:val="20"/>
          <w:lang w:eastAsia="ru-RU"/>
        </w:rPr>
        <w:lastRenderedPageBreak/>
        <w:t xml:space="preserve">ВОПРОС </w:t>
      </w:r>
      <w:r w:rsidR="00A0049C" w:rsidRPr="00A0049C">
        <w:rPr>
          <w:rFonts w:eastAsia="Times New Roman" w:cs="Times New Roman"/>
          <w:b/>
          <w:bCs/>
          <w:color w:val="000000"/>
          <w:kern w:val="36"/>
          <w:sz w:val="20"/>
          <w:szCs w:val="20"/>
          <w:lang w:eastAsia="ru-RU"/>
        </w:rPr>
        <w:t>10.</w:t>
      </w:r>
    </w:p>
    <w:p w14:paraId="4DB379E4"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567"/>
        <w:jc w:val="both"/>
        <w:outlineLvl w:val="0"/>
        <w:rPr>
          <w:rFonts w:eastAsia="Times New Roman" w:cs="Times New Roman"/>
          <w:b/>
          <w:bCs/>
          <w:kern w:val="36"/>
          <w:sz w:val="20"/>
          <w:szCs w:val="20"/>
          <w:lang w:eastAsia="ru-RU"/>
        </w:rPr>
      </w:pPr>
      <w:r w:rsidRPr="00A0049C">
        <w:rPr>
          <w:rFonts w:eastAsia="Times New Roman" w:cs="Times New Roman"/>
          <w:b/>
          <w:bCs/>
          <w:color w:val="000000"/>
          <w:kern w:val="36"/>
          <w:sz w:val="20"/>
          <w:szCs w:val="20"/>
          <w:lang w:eastAsia="ru-RU"/>
        </w:rPr>
        <w:t>Екатерина Алексеевна В.</w:t>
      </w:r>
      <w:r w:rsidRPr="00A0049C">
        <w:rPr>
          <w:rFonts w:eastAsia="Times New Roman" w:cs="Arial"/>
          <w:color w:val="000000"/>
          <w:kern w:val="36"/>
          <w:sz w:val="20"/>
          <w:szCs w:val="20"/>
          <w:lang w:eastAsia="ru-RU"/>
        </w:rPr>
        <w:t> </w:t>
      </w:r>
    </w:p>
    <w:p w14:paraId="7957F28C"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sz w:val="20"/>
          <w:szCs w:val="20"/>
          <w:lang w:eastAsia="ru-RU"/>
        </w:rPr>
      </w:pPr>
    </w:p>
    <w:p w14:paraId="3E00D314"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1) Направляем Вам вопрос о применения ПБУ 8/2010 «Оценочные обязательства в НКО (во вложении).</w:t>
      </w:r>
    </w:p>
    <w:p w14:paraId="40AE8799"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«Письмо по вопросу применения ПБУ 8/2010 «Оценочные обязательства, условные обязательства и условные активы» социально-ориентированной некоммерческой организацией в части формирования резерва на отпуска.</w:t>
      </w:r>
    </w:p>
    <w:p w14:paraId="0294D08D"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Социально-ориентированная некоммерческая организация – Всемирный фонд природы, осуществляет свою деятельность в области охраны окружающей среды и  подлежит обязательному аудиту.</w:t>
      </w:r>
    </w:p>
    <w:p w14:paraId="22116E24"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Источниками формирования имущества Фонда в денежных формах являются:</w:t>
      </w:r>
    </w:p>
    <w:p w14:paraId="11BB2869"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добровольные имущественные взносы и пожертвования физических лиц и юридических лиц, в том числе от иностранных физических и юридических лиц, международных организаций на конкретный проект (программу);</w:t>
      </w:r>
    </w:p>
    <w:p w14:paraId="5409F9A4"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средства бюджетов всех уровней бюджетной системы Российской Федерации, получаемые Фондом в порядке и на условиях, установленных бюджетным законодательством.</w:t>
      </w:r>
    </w:p>
    <w:p w14:paraId="1DBAFCF2"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В том числе источником формирования средств Всемирного фонда природы являются поступления на конкретный социальный проект по результатам конкурса от Фонда президентских грантов (единый оператор грантов Президента Российской Федерации, предоставляемых на развитие гражданского общества)  –  https://президентскиегранты.рф.</w:t>
      </w:r>
    </w:p>
    <w:p w14:paraId="298686C3"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В бюджет каждой программы (проекта) Всемирного фонда природы включены расходы на оплату труда (в том числе отпускные и налоги с ФОТ) по конкретным сотрудникам на конкретный срок, утвержденные Жертвователем (грантодателем). При этом сроки программ не совпадают с календарным (финансовым) годом. Сумма расходов на оплату труда может быть утверждена по нескольким проектам и программам на разные сроки от разных Жертвователей. Сумма оплаты отпускных сотрудников относится на расходы организации в момент начисления отпуска по каждой конкретной программе (проекту) в соответствии с источником формирования денежных средств. Отпуска сотрудникам предоставляются регулярно, нарушений трудового законодательства нет.</w:t>
      </w:r>
    </w:p>
    <w:p w14:paraId="28ECBF2F"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В соответствии с ПБУ 8/2010 «Оценочные обязательства, условные обязательства и условные активы» некоммерческая организация должна формировать резервы по суммам, на которые у нее есть обязательства в соответствии с применяемыми документами и законодательством. В частности, таким является резерв на отпуска.</w:t>
      </w:r>
    </w:p>
    <w:p w14:paraId="1D6F2779"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Данное ПБУ 8/2010 "Оценочные обязательства, условные обязательства и условные активы" могут не применять организациями, которые вправе применять упрощенные способы ведения бухгалтерского учета. Однако, согласно статье 5 ФЗ N 402-ФЗ упрощенные способы ведения бухгалтерского учета, не применяют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14:paraId="4C4A05AD"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Резерв на оплату отпусков – это источник выплаты отпускных, компенсаций за неиспользованный отпуск и уплаты взносов во внебюджетные фонды, который работодатель создает в текущем периоде (на отчётную дату) для использования в будущем. Резерв на оплату отпусков на отчетную дату формируется по дебету тех же счетов учета, на которых организация отражает начисление заработной платы – расходы на конкретный проект Всемирного фонда природы. Таким образом у Всемирного фонда природы отсутствует источник финансирования на отчетную дату, на расходы которого мог бы быть начислен резерв на отпуска.</w:t>
      </w:r>
    </w:p>
    <w:p w14:paraId="4EC8AAF1"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 xml:space="preserve">Также в соответствии с </w:t>
      </w:r>
      <w:r w:rsidRPr="00A0049C">
        <w:rPr>
          <w:rFonts w:eastAsia="Times New Roman" w:cs="Times New Roman"/>
          <w:b/>
          <w:color w:val="000000"/>
          <w:sz w:val="20"/>
          <w:szCs w:val="20"/>
          <w:lang w:eastAsia="ru-RU"/>
        </w:rPr>
        <w:t>пунктом 5 ПБУ 8/2010</w:t>
      </w:r>
      <w:r w:rsidRPr="00A0049C">
        <w:rPr>
          <w:rFonts w:eastAsia="Times New Roman" w:cs="Times New Roman"/>
          <w:color w:val="000000"/>
          <w:sz w:val="20"/>
          <w:szCs w:val="20"/>
          <w:lang w:eastAsia="ru-RU"/>
        </w:rPr>
        <w:t xml:space="preserve"> «Оценочные обязательства, условные обязательства и условные активы»  оценочное обязательство признается в бухгалтерском учете при одновременном соблюдении следующих условий:</w:t>
      </w:r>
    </w:p>
    <w:p w14:paraId="0352CB60"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а) у организации существует обязанность, явившаяся следствием прошлых событий ее хозяйственной жизни, исполнения которой организация не может избежать. В случае, когда у организации возникают сомнения в наличии такой обязанности, организация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14:paraId="1A50E3F7"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б) уменьшение экономических выгод организации, необходимое для исполнения оценочного обязательства, вероятно;</w:t>
      </w:r>
    </w:p>
    <w:p w14:paraId="2C463627"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в) величина оценочного обязательства может быть обоснованно оценена.</w:t>
      </w:r>
    </w:p>
    <w:p w14:paraId="1C984239"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При отсутствии хотя бы одного из условий резервы создавать необязательно.</w:t>
      </w:r>
    </w:p>
    <w:p w14:paraId="18314632"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 xml:space="preserve">В уставной деятельности Всемирного фонда природы отсутствуют экономические выгоды, вся деятельность благотворительная. При оплате отпусков за счет целевых средств уменьшения экономических </w:t>
      </w:r>
      <w:r w:rsidRPr="00A0049C">
        <w:rPr>
          <w:rFonts w:eastAsia="Times New Roman" w:cs="Times New Roman"/>
          <w:color w:val="000000"/>
          <w:sz w:val="20"/>
          <w:szCs w:val="20"/>
          <w:lang w:eastAsia="ru-RU"/>
        </w:rPr>
        <w:lastRenderedPageBreak/>
        <w:t>выгод не происходит. Следовательно, резервы в уставной деятельности Всемирного фонда природы можно не создавать (такая обязанность есть только в части предпринимательства).</w:t>
      </w:r>
    </w:p>
    <w:p w14:paraId="355EBC90"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Просим дать пояснения, имеет ли право социально-ориентированная некоммерческая организация не применять ПБУ 8/2010 «Оценочные обязательства, условные обязательства и условные активы» в части  формирования резервов на отпуска в связи с тем, что на отчетную дату отсутствует источник расходов, на который можно было бы отнести данные затраты, закрепив это положение в Учетной политике организации, а также в связи с отсутствием условия по уменьшению экономических выгод организации, необходимое для исполнения оценочного обязательства?»</w:t>
      </w:r>
    </w:p>
    <w:p w14:paraId="0E74B655"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Также хотели бы сообщить, что данный запрос был направлен в Минфин РФ в декабре 2021 г. Из Минфина уже получен ответ следующего характера:</w:t>
      </w:r>
    </w:p>
    <w:p w14:paraId="2E83A270" w14:textId="77777777" w:rsidR="00A0049C" w:rsidRPr="00A0049C" w:rsidRDefault="00A0049C" w:rsidP="00C34187">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В связи с Вашим обращением Департамент регулирования бухгалтерского учета, финансовой отчетности и аудиторской деятельности сообщает, что в соответствии с Регламентом Министерства финансов Российской Федерации, утвержденным приказом Минфина России от 14 сентября 2018 г. № 194н, Министерством не осуществляется разъяснение законодательства Российской  Федерации, практики его применения, практики применения приказов Министерства, а также толкование норм, терминов и понятий по обращениям, не рассматриваются по существу обращения по проведению экспертиз договоров, учредительных и иных документов организаций, а также по оценке конкретных хозяйственных ситуаций.</w:t>
      </w:r>
    </w:p>
    <w:p w14:paraId="0AFB6813" w14:textId="77777777" w:rsidR="00A0049C" w:rsidRPr="00A0049C" w:rsidRDefault="00A0049C" w:rsidP="00C34187">
      <w:pPr>
        <w:pBdr>
          <w:top w:val="single" w:sz="4" w:space="1" w:color="auto"/>
          <w:left w:val="single" w:sz="4" w:space="4" w:color="auto"/>
          <w:bottom w:val="single" w:sz="4" w:space="1" w:color="auto"/>
          <w:right w:val="single" w:sz="4" w:space="4" w:color="auto"/>
        </w:pBdr>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2) Социально-ориентированная некоммерческая организация (Фонд) просит дать пояснение по вопросу применения 4  ФСБУ 5/2019 «Запасы»:</w:t>
      </w:r>
    </w:p>
    <w:p w14:paraId="69D45C05" w14:textId="77777777" w:rsidR="00A0049C" w:rsidRPr="00A0049C" w:rsidRDefault="00A0049C" w:rsidP="00C34187">
      <w:pPr>
        <w:pBdr>
          <w:top w:val="single" w:sz="4" w:space="1" w:color="auto"/>
          <w:left w:val="single" w:sz="4" w:space="4" w:color="auto"/>
          <w:bottom w:val="single" w:sz="4" w:space="1" w:color="auto"/>
          <w:right w:val="single" w:sz="4" w:space="4" w:color="auto"/>
        </w:pBdr>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Согласно пункту 4  ФСБУ 5/2019 «Запасы»  данный стандарт не распространяется на “материальные ценности, полученные некоммерческой организацией для безвозмездной передачи гражданам или юридическим лицам”. </w:t>
      </w:r>
    </w:p>
    <w:p w14:paraId="12DB11B9" w14:textId="77777777" w:rsidR="00A0049C" w:rsidRPr="00A0049C" w:rsidRDefault="00A0049C" w:rsidP="00C34187">
      <w:pPr>
        <w:pBdr>
          <w:top w:val="single" w:sz="4" w:space="1" w:color="auto"/>
          <w:left w:val="single" w:sz="4" w:space="4" w:color="auto"/>
          <w:bottom w:val="single" w:sz="4" w:space="1" w:color="auto"/>
          <w:right w:val="single" w:sz="4" w:space="4" w:color="auto"/>
        </w:pBdr>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Фондом  покупается оборудование и иное имущество, которое впоследствии передается по договорам пожертвования. При этом одновременно в момент заключения договора поставки такого оборудования и имущества Фонд заключает договор пожертвования с организацией-получателем. После получения имущества от поставщика Фондом, такое имущество передаётся организациям по акту приёма-передачи. </w:t>
      </w:r>
    </w:p>
    <w:p w14:paraId="79439AE1" w14:textId="77777777" w:rsidR="00A0049C" w:rsidRPr="00A0049C" w:rsidRDefault="00A0049C" w:rsidP="00C34187">
      <w:pPr>
        <w:pBdr>
          <w:top w:val="single" w:sz="4" w:space="1" w:color="auto"/>
          <w:left w:val="single" w:sz="4" w:space="4" w:color="auto"/>
          <w:bottom w:val="single" w:sz="4" w:space="1" w:color="auto"/>
          <w:right w:val="single" w:sz="4" w:space="4" w:color="auto"/>
        </w:pBdr>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Помимо этого Фондом приобретается печатная, научная и иная продукция с символикой Фонда, предназначенная для безвозмездной раздачи широкому кругу лиц (на мероприятиях, конференциях, заседаниях и прочее) с целью привлечения внимания к уставной деятельности фонда.  Данная продукция приобретается за счет средств, выделенных непосредственно на проведение соответствующих мероприятий. Такая продукция списывается на расходы организации в момент приобретения и далее учитывается на забалансовом счете 002.</w:t>
      </w:r>
    </w:p>
    <w:p w14:paraId="31999E2E" w14:textId="77777777" w:rsidR="00A0049C" w:rsidRPr="00A0049C" w:rsidRDefault="00A0049C" w:rsidP="00C34187">
      <w:pPr>
        <w:pBdr>
          <w:top w:val="single" w:sz="4" w:space="1" w:color="auto"/>
          <w:left w:val="single" w:sz="4" w:space="4" w:color="auto"/>
          <w:bottom w:val="single" w:sz="4" w:space="1" w:color="auto"/>
          <w:right w:val="single" w:sz="4" w:space="4" w:color="auto"/>
        </w:pBdr>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Таким образом Фонд не применяет стандарт ФСБУ 5/2019 «Запасы» к имуществу в виде печатной и сувенирной продукции и оборудованию для передачи по договорам пожертвования (это указано в учетной политике) в связи с тем, что изначально такие материалы получены (куплены) для определённых целей, т.е. для безвозмездной передачи гражданам или юридическим лицам. </w:t>
      </w:r>
    </w:p>
    <w:p w14:paraId="6D5608AD" w14:textId="77777777" w:rsidR="00A0049C" w:rsidRPr="00A0049C" w:rsidRDefault="00A0049C" w:rsidP="00C34187">
      <w:pPr>
        <w:pBdr>
          <w:top w:val="single" w:sz="4" w:space="1" w:color="auto"/>
          <w:left w:val="single" w:sz="4" w:space="4" w:color="auto"/>
          <w:bottom w:val="single" w:sz="4" w:space="1" w:color="auto"/>
          <w:right w:val="single" w:sz="4" w:space="4" w:color="auto"/>
        </w:pBdr>
        <w:spacing w:after="0" w:line="240" w:lineRule="auto"/>
        <w:ind w:firstLine="567"/>
        <w:jc w:val="both"/>
        <w:rPr>
          <w:rFonts w:eastAsia="Times New Roman" w:cs="Times New Roman"/>
          <w:sz w:val="20"/>
          <w:szCs w:val="20"/>
          <w:lang w:eastAsia="ru-RU"/>
        </w:rPr>
      </w:pPr>
      <w:r w:rsidRPr="00A0049C">
        <w:rPr>
          <w:rFonts w:eastAsia="Times New Roman" w:cs="Times New Roman"/>
          <w:color w:val="000000"/>
          <w:sz w:val="20"/>
          <w:szCs w:val="20"/>
          <w:lang w:eastAsia="ru-RU"/>
        </w:rPr>
        <w:t>Можно ли на Ваш взгляд считать, что в связи с указанной формулировкой стандарта ФСБУ 5/2019 «Запасы»  этот стандарт не применим в отношении указанного выше имущества Фонда?</w:t>
      </w:r>
    </w:p>
    <w:p w14:paraId="1897B702" w14:textId="77777777" w:rsidR="00A0049C" w:rsidRDefault="00A0049C">
      <w:pPr>
        <w:rPr>
          <w:sz w:val="20"/>
          <w:szCs w:val="20"/>
        </w:rPr>
      </w:pPr>
    </w:p>
    <w:p w14:paraId="0F547968" w14:textId="77777777" w:rsidR="00C34187" w:rsidRDefault="00C34187">
      <w:pPr>
        <w:rPr>
          <w:sz w:val="20"/>
          <w:szCs w:val="20"/>
        </w:rPr>
      </w:pPr>
    </w:p>
    <w:p w14:paraId="36C24EAB" w14:textId="77777777" w:rsidR="00C34187" w:rsidRDefault="00C34187">
      <w:pPr>
        <w:rPr>
          <w:sz w:val="20"/>
          <w:szCs w:val="20"/>
        </w:rPr>
      </w:pPr>
      <w:r>
        <w:rPr>
          <w:sz w:val="20"/>
          <w:szCs w:val="20"/>
        </w:rPr>
        <w:br w:type="page"/>
      </w:r>
    </w:p>
    <w:p w14:paraId="5750BF53" w14:textId="77777777" w:rsidR="00C34187" w:rsidRDefault="00C34187" w:rsidP="00C34187">
      <w:pPr>
        <w:pBdr>
          <w:top w:val="single" w:sz="4" w:space="1" w:color="auto"/>
          <w:left w:val="single" w:sz="4" w:space="4" w:color="auto"/>
          <w:bottom w:val="single" w:sz="4" w:space="1" w:color="auto"/>
          <w:right w:val="single" w:sz="4" w:space="4" w:color="auto"/>
        </w:pBdr>
        <w:shd w:val="clear" w:color="auto" w:fill="FFFFFF"/>
        <w:spacing w:before="220" w:after="220" w:line="240" w:lineRule="auto"/>
        <w:ind w:firstLine="567"/>
        <w:jc w:val="both"/>
        <w:outlineLvl w:val="0"/>
        <w:rPr>
          <w:rFonts w:eastAsia="Times New Roman" w:cs="Times New Roman"/>
          <w:b/>
          <w:bCs/>
          <w:color w:val="000000"/>
          <w:kern w:val="36"/>
          <w:sz w:val="20"/>
          <w:szCs w:val="20"/>
          <w:lang w:eastAsia="ru-RU"/>
        </w:rPr>
      </w:pPr>
      <w:r w:rsidRPr="00C34187">
        <w:rPr>
          <w:rFonts w:eastAsia="Times New Roman" w:cs="Times New Roman"/>
          <w:b/>
          <w:bCs/>
          <w:color w:val="000000"/>
          <w:kern w:val="36"/>
          <w:sz w:val="20"/>
          <w:szCs w:val="20"/>
          <w:lang w:eastAsia="ru-RU"/>
        </w:rPr>
        <w:lastRenderedPageBreak/>
        <w:t>ВОПРОС 14.</w:t>
      </w:r>
    </w:p>
    <w:p w14:paraId="4FC8BEC0" w14:textId="77777777" w:rsidR="00C34187" w:rsidRPr="00C34187" w:rsidRDefault="00C34187" w:rsidP="00C34187">
      <w:pPr>
        <w:pBdr>
          <w:top w:val="single" w:sz="4" w:space="1" w:color="auto"/>
          <w:left w:val="single" w:sz="4" w:space="4" w:color="auto"/>
          <w:bottom w:val="single" w:sz="4" w:space="1" w:color="auto"/>
          <w:right w:val="single" w:sz="4" w:space="4" w:color="auto"/>
        </w:pBdr>
        <w:shd w:val="clear" w:color="auto" w:fill="FFFFFF"/>
        <w:spacing w:before="220" w:after="220" w:line="240" w:lineRule="auto"/>
        <w:ind w:firstLine="567"/>
        <w:jc w:val="both"/>
        <w:outlineLvl w:val="0"/>
        <w:rPr>
          <w:rFonts w:eastAsia="Times New Roman" w:cs="Times New Roman"/>
          <w:b/>
          <w:bCs/>
          <w:kern w:val="36"/>
          <w:sz w:val="20"/>
          <w:szCs w:val="20"/>
          <w:lang w:eastAsia="ru-RU"/>
        </w:rPr>
      </w:pPr>
      <w:r w:rsidRPr="00C34187">
        <w:rPr>
          <w:rFonts w:eastAsia="Times New Roman" w:cs="Times New Roman"/>
          <w:b/>
          <w:bCs/>
          <w:color w:val="000000"/>
          <w:kern w:val="36"/>
          <w:sz w:val="20"/>
          <w:szCs w:val="20"/>
          <w:lang w:eastAsia="ru-RU"/>
        </w:rPr>
        <w:t>Маргарита Николаевна К.</w:t>
      </w:r>
    </w:p>
    <w:p w14:paraId="634A9F4B" w14:textId="77777777" w:rsidR="00C34187" w:rsidRPr="00C34187" w:rsidRDefault="00C34187" w:rsidP="00C34187">
      <w:pPr>
        <w:pStyle w:val="a5"/>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rFonts w:asciiTheme="minorHAnsi" w:hAnsiTheme="minorHAnsi"/>
          <w:sz w:val="20"/>
          <w:szCs w:val="20"/>
        </w:rPr>
      </w:pPr>
      <w:r w:rsidRPr="00C34187">
        <w:rPr>
          <w:rFonts w:asciiTheme="minorHAnsi" w:hAnsiTheme="minorHAnsi"/>
          <w:color w:val="000000"/>
          <w:sz w:val="20"/>
          <w:szCs w:val="20"/>
        </w:rPr>
        <w:t>Может ли Фонд применять ФСБУ 6/2020 “Основные средства” с 2021 в связи со следующей ситуацией: был приобретено МФУ, стоимостью более 40 тыс. руб. и поставлено на Баланс. Правильно ли мы понимает, что по новому ФСБУ 6/2020 мы можем определить по бух. учету и налог. учету сумму для ОС (МПЗ) за единицу 100 тыс. руб. и списать это МФУ единовременно на расходы? Также на балансе Фонда есть 2 ноутбука (ОС), износ по которым закончился начисляться в январе 2021 г.. Какие проводки нужно сделать, в случае возможности применения ФСБУ 6/2020 с 2021 г.?</w:t>
      </w:r>
    </w:p>
    <w:p w14:paraId="40CDEE64" w14:textId="77777777" w:rsidR="00C34187" w:rsidRDefault="00C34187">
      <w:pPr>
        <w:rPr>
          <w:sz w:val="20"/>
          <w:szCs w:val="20"/>
        </w:rPr>
      </w:pPr>
    </w:p>
    <w:p w14:paraId="373F4C9E" w14:textId="77777777" w:rsidR="004B2F50" w:rsidRPr="00B755B3" w:rsidRDefault="004B2F50" w:rsidP="004B2F50">
      <w:pPr>
        <w:rPr>
          <w:b/>
          <w:sz w:val="20"/>
          <w:szCs w:val="20"/>
        </w:rPr>
      </w:pPr>
      <w:r w:rsidRPr="00B755B3">
        <w:rPr>
          <w:b/>
          <w:sz w:val="20"/>
          <w:szCs w:val="20"/>
        </w:rPr>
        <w:t>ФСБУ 6/2020</w:t>
      </w:r>
    </w:p>
    <w:p w14:paraId="126B1E85" w14:textId="77777777" w:rsidR="004B2F50" w:rsidRPr="00B755B3" w:rsidRDefault="004B2F50" w:rsidP="004B2F50">
      <w:pPr>
        <w:jc w:val="both"/>
        <w:rPr>
          <w:sz w:val="20"/>
          <w:szCs w:val="20"/>
        </w:rPr>
      </w:pPr>
      <w:r w:rsidRPr="00B755B3">
        <w:rPr>
          <w:sz w:val="20"/>
          <w:szCs w:val="20"/>
        </w:rPr>
        <w:t>5. Организация может принять решение не применять настоящий Стандарт в отношении активов, характеризующихся одновременно признаками, установленными пунктом 4 настоящего Стандарта, но имеющих стоимость ниже лимита, установленного организацией с учетом существенности информации о таких активах. При этом затраты на приобретение, создание таких активов признаются расходами периода, в котором они понесены. Указанное решение раскрывается в бухгалтерской (финансовой) отчетности с указанием лимита стоимости, установленного организацией.</w:t>
      </w:r>
    </w:p>
    <w:p w14:paraId="327E94FB" w14:textId="77777777" w:rsidR="004B2F50" w:rsidRPr="00B755B3" w:rsidRDefault="004B2F50" w:rsidP="004B2F50">
      <w:pPr>
        <w:jc w:val="both"/>
        <w:rPr>
          <w:sz w:val="20"/>
          <w:szCs w:val="20"/>
        </w:rPr>
      </w:pPr>
      <w:r w:rsidRPr="00B755B3">
        <w:rPr>
          <w:sz w:val="20"/>
          <w:szCs w:val="20"/>
        </w:rPr>
        <w:t>Организация должна обеспечить надлежащий контроль наличия и движения таких активов.</w:t>
      </w:r>
    </w:p>
    <w:p w14:paraId="3D2631A8" w14:textId="77777777" w:rsidR="004B2F50" w:rsidRDefault="004B2F50">
      <w:pPr>
        <w:rPr>
          <w:sz w:val="20"/>
          <w:szCs w:val="20"/>
        </w:rPr>
      </w:pPr>
    </w:p>
    <w:p w14:paraId="7D4BD704" w14:textId="77777777" w:rsidR="00106C0E" w:rsidRDefault="005E16E4">
      <w:pPr>
        <w:rPr>
          <w:sz w:val="20"/>
          <w:szCs w:val="20"/>
        </w:rPr>
      </w:pPr>
      <w:hyperlink r:id="rId6" w:history="1">
        <w:r w:rsidR="00B755B3" w:rsidRPr="00124E3C">
          <w:rPr>
            <w:rStyle w:val="a3"/>
            <w:sz w:val="20"/>
            <w:szCs w:val="20"/>
          </w:rPr>
          <w:t>http://bmcenter.ru/Files/R-KpR_Stoimostniy_limit_OS</w:t>
        </w:r>
      </w:hyperlink>
    </w:p>
    <w:p w14:paraId="61849E40" w14:textId="77777777" w:rsidR="00B755B3" w:rsidRPr="004B2F50" w:rsidRDefault="00B755B3" w:rsidP="00B755B3">
      <w:pPr>
        <w:rPr>
          <w:b/>
          <w:sz w:val="20"/>
          <w:szCs w:val="20"/>
        </w:rPr>
      </w:pPr>
      <w:r w:rsidRPr="004B2F50">
        <w:rPr>
          <w:b/>
          <w:sz w:val="20"/>
          <w:szCs w:val="20"/>
        </w:rPr>
        <w:t>РЕКОМЕНДАЦИЯ Р-126/2021-КпР</w:t>
      </w:r>
    </w:p>
    <w:p w14:paraId="37B7E95F" w14:textId="77777777" w:rsidR="00B755B3" w:rsidRPr="004B2F50" w:rsidRDefault="00B755B3" w:rsidP="00B755B3">
      <w:pPr>
        <w:rPr>
          <w:b/>
          <w:sz w:val="20"/>
          <w:szCs w:val="20"/>
        </w:rPr>
      </w:pPr>
      <w:r w:rsidRPr="004B2F50">
        <w:rPr>
          <w:b/>
          <w:sz w:val="20"/>
          <w:szCs w:val="20"/>
        </w:rPr>
        <w:t>«СТОИМОСТНОЙ ЛИМИТ ДЛЯ ОСНОВНЫХ СРЕДСТВ»</w:t>
      </w:r>
    </w:p>
    <w:p w14:paraId="2580BF79" w14:textId="77777777" w:rsidR="004B2F50" w:rsidRPr="004B2F50" w:rsidRDefault="004B2F50" w:rsidP="004B2F50">
      <w:pPr>
        <w:shd w:val="clear" w:color="auto" w:fill="FFFFFF"/>
        <w:spacing w:after="0" w:line="240" w:lineRule="auto"/>
        <w:jc w:val="both"/>
        <w:textAlignment w:val="baseline"/>
        <w:rPr>
          <w:rFonts w:eastAsia="Times New Roman" w:cs="Times New Roman"/>
          <w:b/>
          <w:sz w:val="20"/>
          <w:szCs w:val="20"/>
          <w:lang w:eastAsia="ru-RU"/>
        </w:rPr>
      </w:pPr>
      <w:r w:rsidRPr="004B2F50">
        <w:rPr>
          <w:rFonts w:eastAsia="Times New Roman" w:cs="Times New Roman"/>
          <w:b/>
          <w:bCs/>
          <w:sz w:val="20"/>
          <w:szCs w:val="20"/>
          <w:bdr w:val="none" w:sz="0" w:space="0" w:color="auto" w:frame="1"/>
          <w:lang w:eastAsia="ru-RU"/>
        </w:rPr>
        <w:t>РЕШЕНИЕ</w:t>
      </w:r>
    </w:p>
    <w:p w14:paraId="573E5641"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1. </w:t>
      </w:r>
      <w:r w:rsidRPr="004B2F50">
        <w:rPr>
          <w:rFonts w:eastAsia="Times New Roman" w:cs="Times New Roman"/>
          <w:sz w:val="20"/>
          <w:szCs w:val="20"/>
          <w:bdr w:val="none" w:sz="0" w:space="0" w:color="auto" w:frame="1"/>
          <w:lang w:eastAsia="ru-RU"/>
        </w:rPr>
        <w:t>Предметом настоящей Рекомендации являются вопросы применения пункта 5 Федерального стандарта бухгалтерского учета ФСБУ 6/2020 «Основные средства». В настоящей Рекомендации используются следующие сокращения, выделенные по тексту Решения курсивом:</w:t>
      </w:r>
    </w:p>
    <w:p w14:paraId="0D7FD887"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sz w:val="20"/>
          <w:szCs w:val="20"/>
          <w:bdr w:val="none" w:sz="0" w:space="0" w:color="auto" w:frame="1"/>
          <w:lang w:eastAsia="ru-RU"/>
        </w:rPr>
        <w:t> </w:t>
      </w:r>
      <w:r w:rsidRPr="004B2F50">
        <w:rPr>
          <w:rFonts w:eastAsia="Times New Roman" w:cs="Times New Roman"/>
          <w:b/>
          <w:i/>
          <w:iCs/>
          <w:sz w:val="20"/>
          <w:szCs w:val="20"/>
          <w:bdr w:val="none" w:sz="0" w:space="0" w:color="auto" w:frame="1"/>
          <w:lang w:eastAsia="ru-RU"/>
        </w:rPr>
        <w:t>несущественные активы</w:t>
      </w:r>
      <w:r w:rsidRPr="004B2F50">
        <w:rPr>
          <w:rFonts w:eastAsia="Times New Roman" w:cs="Times New Roman"/>
          <w:i/>
          <w:iCs/>
          <w:sz w:val="20"/>
          <w:szCs w:val="20"/>
          <w:bdr w:val="none" w:sz="0" w:space="0" w:color="auto" w:frame="1"/>
          <w:lang w:eastAsia="ru-RU"/>
        </w:rPr>
        <w:t> </w:t>
      </w:r>
      <w:r w:rsidRPr="004B2F50">
        <w:rPr>
          <w:rFonts w:eastAsia="Times New Roman" w:cs="Times New Roman"/>
          <w:sz w:val="20"/>
          <w:szCs w:val="20"/>
          <w:bdr w:val="none" w:sz="0" w:space="0" w:color="auto" w:frame="1"/>
          <w:lang w:eastAsia="ru-RU"/>
        </w:rPr>
        <w:t xml:space="preserve">– определяемые организацией в соответствии с </w:t>
      </w:r>
      <w:r w:rsidRPr="004B2F50">
        <w:rPr>
          <w:rFonts w:eastAsia="Times New Roman" w:cs="Times New Roman"/>
          <w:b/>
          <w:sz w:val="20"/>
          <w:szCs w:val="20"/>
          <w:bdr w:val="none" w:sz="0" w:space="0" w:color="auto" w:frame="1"/>
          <w:lang w:eastAsia="ru-RU"/>
        </w:rPr>
        <w:t>пунктом 5 ФСБУ 6/2020</w:t>
      </w:r>
      <w:r w:rsidRPr="004B2F50">
        <w:rPr>
          <w:rFonts w:eastAsia="Times New Roman" w:cs="Times New Roman"/>
          <w:sz w:val="20"/>
          <w:szCs w:val="20"/>
          <w:bdr w:val="none" w:sz="0" w:space="0" w:color="auto" w:frame="1"/>
          <w:lang w:eastAsia="ru-RU"/>
        </w:rPr>
        <w:t xml:space="preserve"> активы, характеризующихся одновременно признаками основных средств, но имеющие стоимость ниже лимита, установленного организацией с учетом существенности информации о таких активах;</w:t>
      </w:r>
    </w:p>
    <w:p w14:paraId="7CA26F82"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
          <w:i/>
          <w:iCs/>
          <w:sz w:val="20"/>
          <w:szCs w:val="20"/>
          <w:bdr w:val="none" w:sz="0" w:space="0" w:color="auto" w:frame="1"/>
          <w:lang w:eastAsia="ru-RU"/>
        </w:rPr>
        <w:t>решение</w:t>
      </w:r>
      <w:r w:rsidRPr="004B2F50">
        <w:rPr>
          <w:rFonts w:eastAsia="Times New Roman" w:cs="Times New Roman"/>
          <w:b/>
          <w:sz w:val="20"/>
          <w:szCs w:val="20"/>
          <w:bdr w:val="none" w:sz="0" w:space="0" w:color="auto" w:frame="1"/>
          <w:lang w:eastAsia="ru-RU"/>
        </w:rPr>
        <w:t> </w:t>
      </w:r>
      <w:r w:rsidRPr="004B2F50">
        <w:rPr>
          <w:rFonts w:eastAsia="Times New Roman" w:cs="Times New Roman"/>
          <w:sz w:val="20"/>
          <w:szCs w:val="20"/>
          <w:bdr w:val="none" w:sz="0" w:space="0" w:color="auto" w:frame="1"/>
          <w:lang w:eastAsia="ru-RU"/>
        </w:rPr>
        <w:t>– принимаемое организацией на основании пункта 5 ФСБУ 6/2020 решение о неприменении этого Стандарта в отношении определенных указанным пунктом активов;</w:t>
      </w:r>
    </w:p>
    <w:p w14:paraId="7E9CBE77"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
          <w:i/>
          <w:iCs/>
          <w:sz w:val="20"/>
          <w:szCs w:val="20"/>
          <w:bdr w:val="none" w:sz="0" w:space="0" w:color="auto" w:frame="1"/>
          <w:lang w:eastAsia="ru-RU"/>
        </w:rPr>
        <w:t>лимит</w:t>
      </w:r>
      <w:r w:rsidRPr="004B2F50">
        <w:rPr>
          <w:rFonts w:eastAsia="Times New Roman" w:cs="Times New Roman"/>
          <w:sz w:val="20"/>
          <w:szCs w:val="20"/>
          <w:bdr w:val="none" w:sz="0" w:space="0" w:color="auto" w:frame="1"/>
          <w:lang w:eastAsia="ru-RU"/>
        </w:rPr>
        <w:t> – лимит стоимости, устанавливаемый организацией на основании пункта 5 ФСБУ 6/2020 для определения основных средств, информация о которых несущественна;</w:t>
      </w:r>
    </w:p>
    <w:p w14:paraId="5E43DF54"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
          <w:i/>
          <w:iCs/>
          <w:sz w:val="20"/>
          <w:szCs w:val="20"/>
          <w:bdr w:val="none" w:sz="0" w:space="0" w:color="auto" w:frame="1"/>
          <w:lang w:eastAsia="ru-RU"/>
        </w:rPr>
        <w:t>релевантные показатели</w:t>
      </w:r>
      <w:r w:rsidRPr="004B2F50">
        <w:rPr>
          <w:rFonts w:eastAsia="Times New Roman" w:cs="Times New Roman"/>
          <w:i/>
          <w:iCs/>
          <w:sz w:val="20"/>
          <w:szCs w:val="20"/>
          <w:bdr w:val="none" w:sz="0" w:space="0" w:color="auto" w:frame="1"/>
          <w:lang w:eastAsia="ru-RU"/>
        </w:rPr>
        <w:t> </w:t>
      </w:r>
      <w:r w:rsidRPr="004B2F50">
        <w:rPr>
          <w:rFonts w:eastAsia="Times New Roman" w:cs="Times New Roman"/>
          <w:sz w:val="20"/>
          <w:szCs w:val="20"/>
          <w:bdr w:val="none" w:sz="0" w:space="0" w:color="auto" w:frame="1"/>
          <w:lang w:eastAsia="ru-RU"/>
        </w:rPr>
        <w:t>– показатели бухгалтерской отчетности организации, значения которых непосредственно зависят от применяемых организацией способов учета капитальных вложений и основных средств.</w:t>
      </w:r>
    </w:p>
    <w:p w14:paraId="6CDB7C58"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2. </w:t>
      </w:r>
      <w:r w:rsidRPr="004B2F50">
        <w:rPr>
          <w:rFonts w:eastAsia="Times New Roman" w:cs="Times New Roman"/>
          <w:sz w:val="20"/>
          <w:szCs w:val="20"/>
          <w:bdr w:val="none" w:sz="0" w:space="0" w:color="auto" w:frame="1"/>
          <w:lang w:eastAsia="ru-RU"/>
        </w:rPr>
        <w:t>При принятии </w:t>
      </w:r>
      <w:r w:rsidRPr="004B2F50">
        <w:rPr>
          <w:rFonts w:eastAsia="Times New Roman" w:cs="Times New Roman"/>
          <w:i/>
          <w:iCs/>
          <w:sz w:val="20"/>
          <w:szCs w:val="20"/>
          <w:bdr w:val="none" w:sz="0" w:space="0" w:color="auto" w:frame="1"/>
          <w:lang w:eastAsia="ru-RU"/>
        </w:rPr>
        <w:t>решения</w:t>
      </w:r>
      <w:r w:rsidRPr="004B2F50">
        <w:rPr>
          <w:rFonts w:eastAsia="Times New Roman" w:cs="Times New Roman"/>
          <w:sz w:val="20"/>
          <w:szCs w:val="20"/>
          <w:bdr w:val="none" w:sz="0" w:space="0" w:color="auto" w:frame="1"/>
          <w:lang w:eastAsia="ru-RU"/>
        </w:rPr>
        <w:t> организация руководствуется целью выделить из состава основных средств такую их совокупность, информация о которой исходя из структуры активов и затрат организации и особенностей ее деятельности не способна повлиять на экономические решения пользователей бухгалтерской отчетности организации.</w:t>
      </w:r>
    </w:p>
    <w:p w14:paraId="3B3E2C36"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
          <w:bCs/>
          <w:sz w:val="20"/>
          <w:szCs w:val="20"/>
          <w:bdr w:val="none" w:sz="0" w:space="0" w:color="auto" w:frame="1"/>
          <w:lang w:eastAsia="ru-RU"/>
        </w:rPr>
        <w:t>3.</w:t>
      </w:r>
      <w:r w:rsidRPr="004B2F50">
        <w:rPr>
          <w:rFonts w:eastAsia="Times New Roman" w:cs="Times New Roman"/>
          <w:bCs/>
          <w:sz w:val="20"/>
          <w:szCs w:val="20"/>
          <w:bdr w:val="none" w:sz="0" w:space="0" w:color="auto" w:frame="1"/>
          <w:lang w:eastAsia="ru-RU"/>
        </w:rPr>
        <w:t> </w:t>
      </w:r>
      <w:r w:rsidRPr="004B2F50">
        <w:rPr>
          <w:rFonts w:eastAsia="Times New Roman" w:cs="Times New Roman"/>
          <w:sz w:val="20"/>
          <w:szCs w:val="20"/>
          <w:bdr w:val="none" w:sz="0" w:space="0" w:color="auto" w:frame="1"/>
          <w:lang w:eastAsia="ru-RU"/>
        </w:rPr>
        <w:t>Организация определяет </w:t>
      </w:r>
      <w:r w:rsidRPr="004B2F50">
        <w:rPr>
          <w:rFonts w:eastAsia="Times New Roman" w:cs="Times New Roman"/>
          <w:i/>
          <w:iCs/>
          <w:sz w:val="20"/>
          <w:szCs w:val="20"/>
          <w:bdr w:val="none" w:sz="0" w:space="0" w:color="auto" w:frame="1"/>
          <w:lang w:eastAsia="ru-RU"/>
        </w:rPr>
        <w:t>лимит</w:t>
      </w:r>
      <w:r w:rsidRPr="004B2F50">
        <w:rPr>
          <w:rFonts w:eastAsia="Times New Roman" w:cs="Times New Roman"/>
          <w:sz w:val="20"/>
          <w:szCs w:val="20"/>
          <w:bdr w:val="none" w:sz="0" w:space="0" w:color="auto" w:frame="1"/>
          <w:lang w:eastAsia="ru-RU"/>
        </w:rPr>
        <w:t> в отношении всей выделяемой совокупности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Необходимость в установлении каких-либо стоимостных лимитов в отношении отдельных единиц активов отсутствует. Основные средства, которые по их совокупной стоимости не могут быть отнесены к </w:t>
      </w:r>
      <w:r w:rsidRPr="004B2F50">
        <w:rPr>
          <w:rFonts w:eastAsia="Times New Roman" w:cs="Times New Roman"/>
          <w:i/>
          <w:iCs/>
          <w:sz w:val="20"/>
          <w:szCs w:val="20"/>
          <w:bdr w:val="none" w:sz="0" w:space="0" w:color="auto" w:frame="1"/>
          <w:lang w:eastAsia="ru-RU"/>
        </w:rPr>
        <w:t>несущественным активам</w:t>
      </w:r>
      <w:r w:rsidRPr="004B2F50">
        <w:rPr>
          <w:rFonts w:eastAsia="Times New Roman" w:cs="Times New Roman"/>
          <w:sz w:val="20"/>
          <w:szCs w:val="20"/>
          <w:bdr w:val="none" w:sz="0" w:space="0" w:color="auto" w:frame="1"/>
          <w:lang w:eastAsia="ru-RU"/>
        </w:rPr>
        <w:t>, учитываются в порядке, предусмотренном ФСБУ 6/2020, независимо от стоимости отдельных объектов.</w:t>
      </w:r>
    </w:p>
    <w:p w14:paraId="5B32F15A"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4. </w:t>
      </w:r>
      <w:r w:rsidRPr="004B2F50">
        <w:rPr>
          <w:rFonts w:eastAsia="Times New Roman" w:cs="Times New Roman"/>
          <w:sz w:val="20"/>
          <w:szCs w:val="20"/>
          <w:bdr w:val="none" w:sz="0" w:space="0" w:color="auto" w:frame="1"/>
          <w:lang w:eastAsia="ru-RU"/>
        </w:rPr>
        <w:t>Количественное значение </w:t>
      </w:r>
      <w:r w:rsidRPr="004B2F50">
        <w:rPr>
          <w:rFonts w:eastAsia="Times New Roman" w:cs="Times New Roman"/>
          <w:i/>
          <w:iCs/>
          <w:sz w:val="20"/>
          <w:szCs w:val="20"/>
          <w:bdr w:val="none" w:sz="0" w:space="0" w:color="auto" w:frame="1"/>
          <w:lang w:eastAsia="ru-RU"/>
        </w:rPr>
        <w:t>лимита</w:t>
      </w:r>
      <w:r w:rsidRPr="004B2F50">
        <w:rPr>
          <w:rFonts w:eastAsia="Times New Roman" w:cs="Times New Roman"/>
          <w:sz w:val="20"/>
          <w:szCs w:val="20"/>
          <w:bdr w:val="none" w:sz="0" w:space="0" w:color="auto" w:frame="1"/>
          <w:lang w:eastAsia="ru-RU"/>
        </w:rPr>
        <w:t> устанавливается организацией исходя из потенциального влияния </w:t>
      </w:r>
      <w:r w:rsidRPr="004B2F50">
        <w:rPr>
          <w:rFonts w:eastAsia="Times New Roman" w:cs="Times New Roman"/>
          <w:i/>
          <w:iCs/>
          <w:sz w:val="20"/>
          <w:szCs w:val="20"/>
          <w:bdr w:val="none" w:sz="0" w:space="0" w:color="auto" w:frame="1"/>
          <w:lang w:eastAsia="ru-RU"/>
        </w:rPr>
        <w:t>решения</w:t>
      </w:r>
      <w:r w:rsidRPr="004B2F50">
        <w:rPr>
          <w:rFonts w:eastAsia="Times New Roman" w:cs="Times New Roman"/>
          <w:sz w:val="20"/>
          <w:szCs w:val="20"/>
          <w:bdr w:val="none" w:sz="0" w:space="0" w:color="auto" w:frame="1"/>
          <w:lang w:eastAsia="ru-RU"/>
        </w:rPr>
        <w:t> на </w:t>
      </w:r>
      <w:r w:rsidRPr="004B2F50">
        <w:rPr>
          <w:rFonts w:eastAsia="Times New Roman" w:cs="Times New Roman"/>
          <w:i/>
          <w:iCs/>
          <w:sz w:val="20"/>
          <w:szCs w:val="20"/>
          <w:bdr w:val="none" w:sz="0" w:space="0" w:color="auto" w:frame="1"/>
          <w:lang w:eastAsia="ru-RU"/>
        </w:rPr>
        <w:t>релевантные показатели</w:t>
      </w:r>
      <w:r w:rsidRPr="004B2F50">
        <w:rPr>
          <w:rFonts w:eastAsia="Times New Roman" w:cs="Times New Roman"/>
          <w:sz w:val="20"/>
          <w:szCs w:val="20"/>
          <w:bdr w:val="none" w:sz="0" w:space="0" w:color="auto" w:frame="1"/>
          <w:lang w:eastAsia="ru-RU"/>
        </w:rPr>
        <w:t>. При оценке такого влияния рассматриваются </w:t>
      </w:r>
      <w:r w:rsidRPr="004B2F50">
        <w:rPr>
          <w:rFonts w:eastAsia="Times New Roman" w:cs="Times New Roman"/>
          <w:i/>
          <w:iCs/>
          <w:sz w:val="20"/>
          <w:szCs w:val="20"/>
          <w:bdr w:val="none" w:sz="0" w:space="0" w:color="auto" w:frame="1"/>
          <w:lang w:eastAsia="ru-RU"/>
        </w:rPr>
        <w:t>релевантные показатели</w:t>
      </w:r>
      <w:r w:rsidRPr="004B2F50">
        <w:rPr>
          <w:rFonts w:eastAsia="Times New Roman" w:cs="Times New Roman"/>
          <w:sz w:val="20"/>
          <w:szCs w:val="20"/>
          <w:bdr w:val="none" w:sz="0" w:space="0" w:color="auto" w:frame="1"/>
          <w:lang w:eastAsia="ru-RU"/>
        </w:rPr>
        <w:t xml:space="preserve">, характеризующие как финансовое положение организации (показатели бухгалтерского баланса и пояснений к нему), так и финансовые результаты (показатели отчета о финансовых результатах и </w:t>
      </w:r>
      <w:r w:rsidRPr="004B2F50">
        <w:rPr>
          <w:rFonts w:eastAsia="Times New Roman" w:cs="Times New Roman"/>
          <w:sz w:val="20"/>
          <w:szCs w:val="20"/>
          <w:bdr w:val="none" w:sz="0" w:space="0" w:color="auto" w:frame="1"/>
          <w:lang w:eastAsia="ru-RU"/>
        </w:rPr>
        <w:lastRenderedPageBreak/>
        <w:t>пояснений к нему), с учетом раскрытия информации по сегментам, а также информации по группам основных средств.</w:t>
      </w:r>
    </w:p>
    <w:p w14:paraId="4C61EC73"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5. </w:t>
      </w:r>
      <w:r w:rsidRPr="004B2F50">
        <w:rPr>
          <w:rFonts w:eastAsia="Times New Roman" w:cs="Times New Roman"/>
          <w:sz w:val="20"/>
          <w:szCs w:val="20"/>
          <w:bdr w:val="none" w:sz="0" w:space="0" w:color="auto" w:frame="1"/>
          <w:lang w:eastAsia="ru-RU"/>
        </w:rPr>
        <w:t>Количественно </w:t>
      </w:r>
      <w:r w:rsidRPr="004B2F50">
        <w:rPr>
          <w:rFonts w:eastAsia="Times New Roman" w:cs="Times New Roman"/>
          <w:i/>
          <w:iCs/>
          <w:sz w:val="20"/>
          <w:szCs w:val="20"/>
          <w:bdr w:val="none" w:sz="0" w:space="0" w:color="auto" w:frame="1"/>
          <w:lang w:eastAsia="ru-RU"/>
        </w:rPr>
        <w:t>лимит</w:t>
      </w:r>
      <w:r w:rsidRPr="004B2F50">
        <w:rPr>
          <w:rFonts w:eastAsia="Times New Roman" w:cs="Times New Roman"/>
          <w:sz w:val="20"/>
          <w:szCs w:val="20"/>
          <w:bdr w:val="none" w:sz="0" w:space="0" w:color="auto" w:frame="1"/>
          <w:lang w:eastAsia="ru-RU"/>
        </w:rPr>
        <w:t> может выражаться непосредственно в денежной сумме либо в процентах от денежной величины </w:t>
      </w:r>
      <w:r w:rsidRPr="004B2F50">
        <w:rPr>
          <w:rFonts w:eastAsia="Times New Roman" w:cs="Times New Roman"/>
          <w:i/>
          <w:iCs/>
          <w:sz w:val="20"/>
          <w:szCs w:val="20"/>
          <w:bdr w:val="none" w:sz="0" w:space="0" w:color="auto" w:frame="1"/>
          <w:lang w:eastAsia="ru-RU"/>
        </w:rPr>
        <w:t>релевантных показателей</w:t>
      </w:r>
      <w:r w:rsidRPr="004B2F50">
        <w:rPr>
          <w:rFonts w:eastAsia="Times New Roman" w:cs="Times New Roman"/>
          <w:sz w:val="20"/>
          <w:szCs w:val="20"/>
          <w:bdr w:val="none" w:sz="0" w:space="0" w:color="auto" w:frame="1"/>
          <w:lang w:eastAsia="ru-RU"/>
        </w:rPr>
        <w:t>. При установлении количественного значения </w:t>
      </w:r>
      <w:r w:rsidRPr="004B2F50">
        <w:rPr>
          <w:rFonts w:eastAsia="Times New Roman" w:cs="Times New Roman"/>
          <w:i/>
          <w:iCs/>
          <w:sz w:val="20"/>
          <w:szCs w:val="20"/>
          <w:bdr w:val="none" w:sz="0" w:space="0" w:color="auto" w:frame="1"/>
          <w:lang w:eastAsia="ru-RU"/>
        </w:rPr>
        <w:t>лимита</w:t>
      </w:r>
      <w:r w:rsidRPr="004B2F50">
        <w:rPr>
          <w:rFonts w:eastAsia="Times New Roman" w:cs="Times New Roman"/>
          <w:sz w:val="20"/>
          <w:szCs w:val="20"/>
          <w:bdr w:val="none" w:sz="0" w:space="0" w:color="auto" w:frame="1"/>
          <w:lang w:eastAsia="ru-RU"/>
        </w:rPr>
        <w:t> принимаются во внимание:</w:t>
      </w:r>
    </w:p>
    <w:p w14:paraId="63B8E10D"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sz w:val="20"/>
          <w:szCs w:val="20"/>
          <w:bdr w:val="none" w:sz="0" w:space="0" w:color="auto" w:frame="1"/>
          <w:lang w:eastAsia="ru-RU"/>
        </w:rPr>
        <w:t> </w:t>
      </w:r>
      <w:r w:rsidRPr="004B2F50">
        <w:rPr>
          <w:rFonts w:eastAsia="Times New Roman" w:cs="Times New Roman"/>
          <w:bCs/>
          <w:sz w:val="20"/>
          <w:szCs w:val="20"/>
          <w:bdr w:val="none" w:sz="0" w:space="0" w:color="auto" w:frame="1"/>
          <w:lang w:eastAsia="ru-RU"/>
        </w:rPr>
        <w:t>а) </w:t>
      </w:r>
      <w:r w:rsidRPr="004B2F50">
        <w:rPr>
          <w:rFonts w:eastAsia="Times New Roman" w:cs="Times New Roman"/>
          <w:sz w:val="20"/>
          <w:szCs w:val="20"/>
          <w:bdr w:val="none" w:sz="0" w:space="0" w:color="auto" w:frame="1"/>
          <w:lang w:eastAsia="ru-RU"/>
        </w:rPr>
        <w:t>характер и условия инвестиционной деятельности организации;</w:t>
      </w:r>
    </w:p>
    <w:p w14:paraId="469E916E"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б) </w:t>
      </w:r>
      <w:r w:rsidRPr="004B2F50">
        <w:rPr>
          <w:rFonts w:eastAsia="Times New Roman" w:cs="Times New Roman"/>
          <w:sz w:val="20"/>
          <w:szCs w:val="20"/>
          <w:bdr w:val="none" w:sz="0" w:space="0" w:color="auto" w:frame="1"/>
          <w:lang w:eastAsia="ru-RU"/>
        </w:rPr>
        <w:t>сроки полезного использования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в том числе их сравнение со сроками полезного использования основных средств, не относимых к </w:t>
      </w:r>
      <w:r w:rsidRPr="004B2F50">
        <w:rPr>
          <w:rFonts w:eastAsia="Times New Roman" w:cs="Times New Roman"/>
          <w:i/>
          <w:iCs/>
          <w:sz w:val="20"/>
          <w:szCs w:val="20"/>
          <w:bdr w:val="none" w:sz="0" w:space="0" w:color="auto" w:frame="1"/>
          <w:lang w:eastAsia="ru-RU"/>
        </w:rPr>
        <w:t>несущественным активам</w:t>
      </w:r>
      <w:r w:rsidRPr="004B2F50">
        <w:rPr>
          <w:rFonts w:eastAsia="Times New Roman" w:cs="Times New Roman"/>
          <w:sz w:val="20"/>
          <w:szCs w:val="20"/>
          <w:bdr w:val="none" w:sz="0" w:space="0" w:color="auto" w:frame="1"/>
          <w:lang w:eastAsia="ru-RU"/>
        </w:rPr>
        <w:t>;</w:t>
      </w:r>
    </w:p>
    <w:p w14:paraId="4C3DFD68"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в) </w:t>
      </w:r>
      <w:r w:rsidRPr="004B2F50">
        <w:rPr>
          <w:rFonts w:eastAsia="Times New Roman" w:cs="Times New Roman"/>
          <w:sz w:val="20"/>
          <w:szCs w:val="20"/>
          <w:bdr w:val="none" w:sz="0" w:space="0" w:color="auto" w:frame="1"/>
          <w:lang w:eastAsia="ru-RU"/>
        </w:rPr>
        <w:t>графики обновления основных средств, относимых к </w:t>
      </w:r>
      <w:r w:rsidRPr="004B2F50">
        <w:rPr>
          <w:rFonts w:eastAsia="Times New Roman" w:cs="Times New Roman"/>
          <w:i/>
          <w:iCs/>
          <w:sz w:val="20"/>
          <w:szCs w:val="20"/>
          <w:bdr w:val="none" w:sz="0" w:space="0" w:color="auto" w:frame="1"/>
          <w:lang w:eastAsia="ru-RU"/>
        </w:rPr>
        <w:t>несущественным активам</w:t>
      </w:r>
      <w:r w:rsidRPr="004B2F50">
        <w:rPr>
          <w:rFonts w:eastAsia="Times New Roman" w:cs="Times New Roman"/>
          <w:sz w:val="20"/>
          <w:szCs w:val="20"/>
          <w:bdr w:val="none" w:sz="0" w:space="0" w:color="auto" w:frame="1"/>
          <w:lang w:eastAsia="ru-RU"/>
        </w:rPr>
        <w:t>;</w:t>
      </w:r>
    </w:p>
    <w:p w14:paraId="012F4D76"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г) </w:t>
      </w:r>
      <w:r w:rsidRPr="004B2F50">
        <w:rPr>
          <w:rFonts w:eastAsia="Times New Roman" w:cs="Times New Roman"/>
          <w:sz w:val="20"/>
          <w:szCs w:val="20"/>
          <w:bdr w:val="none" w:sz="0" w:space="0" w:color="auto" w:frame="1"/>
          <w:lang w:eastAsia="ru-RU"/>
        </w:rPr>
        <w:t>капиталоемкость производства и доля амортизации в структуре затрат организации;</w:t>
      </w:r>
    </w:p>
    <w:p w14:paraId="0EBB50B5"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д) </w:t>
      </w:r>
      <w:r w:rsidRPr="004B2F50">
        <w:rPr>
          <w:rFonts w:eastAsia="Times New Roman" w:cs="Times New Roman"/>
          <w:sz w:val="20"/>
          <w:szCs w:val="20"/>
          <w:bdr w:val="none" w:sz="0" w:space="0" w:color="auto" w:frame="1"/>
          <w:lang w:eastAsia="ru-RU"/>
        </w:rPr>
        <w:t>доля амортизации в структуре себестоимости запасов с учетом их оборачиваемости, в структуре себестоимости продаж и других статей отчета о финансовых результатах;</w:t>
      </w:r>
    </w:p>
    <w:p w14:paraId="4313E302"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е) </w:t>
      </w:r>
      <w:r w:rsidRPr="004B2F50">
        <w:rPr>
          <w:rFonts w:eastAsia="Times New Roman" w:cs="Times New Roman"/>
          <w:sz w:val="20"/>
          <w:szCs w:val="20"/>
          <w:bdr w:val="none" w:sz="0" w:space="0" w:color="auto" w:frame="1"/>
          <w:lang w:eastAsia="ru-RU"/>
        </w:rPr>
        <w:t>иные факторы, обусловливающие степень влияния </w:t>
      </w:r>
      <w:r w:rsidRPr="004B2F50">
        <w:rPr>
          <w:rFonts w:eastAsia="Times New Roman" w:cs="Times New Roman"/>
          <w:i/>
          <w:iCs/>
          <w:sz w:val="20"/>
          <w:szCs w:val="20"/>
          <w:bdr w:val="none" w:sz="0" w:space="0" w:color="auto" w:frame="1"/>
          <w:lang w:eastAsia="ru-RU"/>
        </w:rPr>
        <w:t>решения</w:t>
      </w:r>
      <w:r w:rsidRPr="004B2F50">
        <w:rPr>
          <w:rFonts w:eastAsia="Times New Roman" w:cs="Times New Roman"/>
          <w:sz w:val="20"/>
          <w:szCs w:val="20"/>
          <w:bdr w:val="none" w:sz="0" w:space="0" w:color="auto" w:frame="1"/>
          <w:lang w:eastAsia="ru-RU"/>
        </w:rPr>
        <w:t> на показатели бухгалтерской отчетности организации.</w:t>
      </w:r>
    </w:p>
    <w:p w14:paraId="6CF88BFE"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6. </w:t>
      </w:r>
      <w:r w:rsidRPr="004B2F50">
        <w:rPr>
          <w:rFonts w:eastAsia="Times New Roman" w:cs="Times New Roman"/>
          <w:sz w:val="20"/>
          <w:szCs w:val="20"/>
          <w:bdr w:val="none" w:sz="0" w:space="0" w:color="auto" w:frame="1"/>
          <w:lang w:eastAsia="ru-RU"/>
        </w:rPr>
        <w:t>При принятии </w:t>
      </w:r>
      <w:r w:rsidRPr="004B2F50">
        <w:rPr>
          <w:rFonts w:eastAsia="Times New Roman" w:cs="Times New Roman"/>
          <w:i/>
          <w:iCs/>
          <w:sz w:val="20"/>
          <w:szCs w:val="20"/>
          <w:bdr w:val="none" w:sz="0" w:space="0" w:color="auto" w:frame="1"/>
          <w:lang w:eastAsia="ru-RU"/>
        </w:rPr>
        <w:t>решения</w:t>
      </w:r>
      <w:r w:rsidRPr="004B2F50">
        <w:rPr>
          <w:rFonts w:eastAsia="Times New Roman" w:cs="Times New Roman"/>
          <w:sz w:val="20"/>
          <w:szCs w:val="20"/>
          <w:bdr w:val="none" w:sz="0" w:space="0" w:color="auto" w:frame="1"/>
          <w:lang w:eastAsia="ru-RU"/>
        </w:rPr>
        <w:t> организация выделяет исходя из особенностей своей деятельности и структуры своих активов и затрат совокупность основных средств, которые потенциально могут быть отнесены к </w:t>
      </w:r>
      <w:r w:rsidRPr="004B2F50">
        <w:rPr>
          <w:rFonts w:eastAsia="Times New Roman" w:cs="Times New Roman"/>
          <w:i/>
          <w:iCs/>
          <w:sz w:val="20"/>
          <w:szCs w:val="20"/>
          <w:bdr w:val="none" w:sz="0" w:space="0" w:color="auto" w:frame="1"/>
          <w:lang w:eastAsia="ru-RU"/>
        </w:rPr>
        <w:t>несущественным активам</w:t>
      </w:r>
      <w:r w:rsidRPr="004B2F50">
        <w:rPr>
          <w:rFonts w:eastAsia="Times New Roman" w:cs="Times New Roman"/>
          <w:sz w:val="20"/>
          <w:szCs w:val="20"/>
          <w:bdr w:val="none" w:sz="0" w:space="0" w:color="auto" w:frame="1"/>
          <w:lang w:eastAsia="ru-RU"/>
        </w:rPr>
        <w:t>. Организация самостоятельно определяет идентификационные признаки объектов для выделения указанной совокупности – принадлежность объектов к определенным видам, подвидам, группам, подгруппам, сегментам и т.п. таким образом, чтобы уже в момент осуществления каждой конкретной затраты было ясно, относится ли данная затрата к </w:t>
      </w:r>
      <w:r w:rsidRPr="004B2F50">
        <w:rPr>
          <w:rFonts w:eastAsia="Times New Roman" w:cs="Times New Roman"/>
          <w:i/>
          <w:iCs/>
          <w:sz w:val="20"/>
          <w:szCs w:val="20"/>
          <w:bdr w:val="none" w:sz="0" w:space="0" w:color="auto" w:frame="1"/>
          <w:lang w:eastAsia="ru-RU"/>
        </w:rPr>
        <w:t>несущественным активам</w:t>
      </w:r>
      <w:r w:rsidRPr="004B2F50">
        <w:rPr>
          <w:rFonts w:eastAsia="Times New Roman" w:cs="Times New Roman"/>
          <w:sz w:val="20"/>
          <w:szCs w:val="20"/>
          <w:bdr w:val="none" w:sz="0" w:space="0" w:color="auto" w:frame="1"/>
          <w:lang w:eastAsia="ru-RU"/>
        </w:rPr>
        <w:t>. В целях ведения учета в течение отчетного года организация до его начала оценивает предполагаемую годовую сумму затрат на приобретение, создание, улучшение, восстановление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и предполагаемое значение </w:t>
      </w:r>
      <w:r w:rsidRPr="004B2F50">
        <w:rPr>
          <w:rFonts w:eastAsia="Times New Roman" w:cs="Times New Roman"/>
          <w:i/>
          <w:iCs/>
          <w:sz w:val="20"/>
          <w:szCs w:val="20"/>
          <w:bdr w:val="none" w:sz="0" w:space="0" w:color="auto" w:frame="1"/>
          <w:lang w:eastAsia="ru-RU"/>
        </w:rPr>
        <w:t>релевантных показателей</w:t>
      </w:r>
      <w:r w:rsidRPr="004B2F50">
        <w:rPr>
          <w:rFonts w:eastAsia="Times New Roman" w:cs="Times New Roman"/>
          <w:sz w:val="20"/>
          <w:szCs w:val="20"/>
          <w:bdr w:val="none" w:sz="0" w:space="0" w:color="auto" w:frame="1"/>
          <w:lang w:eastAsia="ru-RU"/>
        </w:rPr>
        <w:t>. Указанные величины оцениваются исходя из имеющихся фактических прошлых данных и инвестиционных планов организации на предстоящий год. Организация до начала отчетного года должна удостовериться в том, что предполагаемая совокупная годовая сумма затрат на приобретение, создание, улучшение, восстановление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не превышает </w:t>
      </w:r>
      <w:r w:rsidRPr="004B2F50">
        <w:rPr>
          <w:rFonts w:eastAsia="Times New Roman" w:cs="Times New Roman"/>
          <w:i/>
          <w:iCs/>
          <w:sz w:val="20"/>
          <w:szCs w:val="20"/>
          <w:bdr w:val="none" w:sz="0" w:space="0" w:color="auto" w:frame="1"/>
          <w:lang w:eastAsia="ru-RU"/>
        </w:rPr>
        <w:t>лимит</w:t>
      </w:r>
      <w:r w:rsidRPr="004B2F50">
        <w:rPr>
          <w:rFonts w:eastAsia="Times New Roman" w:cs="Times New Roman"/>
          <w:sz w:val="20"/>
          <w:szCs w:val="20"/>
          <w:bdr w:val="none" w:sz="0" w:space="0" w:color="auto" w:frame="1"/>
          <w:lang w:eastAsia="ru-RU"/>
        </w:rPr>
        <w:t>, установленный с учетом предполагаемого значения </w:t>
      </w:r>
      <w:r w:rsidRPr="004B2F50">
        <w:rPr>
          <w:rFonts w:eastAsia="Times New Roman" w:cs="Times New Roman"/>
          <w:i/>
          <w:iCs/>
          <w:sz w:val="20"/>
          <w:szCs w:val="20"/>
          <w:bdr w:val="none" w:sz="0" w:space="0" w:color="auto" w:frame="1"/>
          <w:lang w:eastAsia="ru-RU"/>
        </w:rPr>
        <w:t>релевантных показателей</w:t>
      </w:r>
      <w:r w:rsidRPr="004B2F50">
        <w:rPr>
          <w:rFonts w:eastAsia="Times New Roman" w:cs="Times New Roman"/>
          <w:sz w:val="20"/>
          <w:szCs w:val="20"/>
          <w:bdr w:val="none" w:sz="0" w:space="0" w:color="auto" w:frame="1"/>
          <w:lang w:eastAsia="ru-RU"/>
        </w:rPr>
        <w:t>, и при этом на начало года отсутствуют основания полагать, что этот </w:t>
      </w:r>
      <w:r w:rsidRPr="004B2F50">
        <w:rPr>
          <w:rFonts w:eastAsia="Times New Roman" w:cs="Times New Roman"/>
          <w:i/>
          <w:iCs/>
          <w:sz w:val="20"/>
          <w:szCs w:val="20"/>
          <w:bdr w:val="none" w:sz="0" w:space="0" w:color="auto" w:frame="1"/>
          <w:lang w:eastAsia="ru-RU"/>
        </w:rPr>
        <w:t>лимит</w:t>
      </w:r>
      <w:r w:rsidRPr="004B2F50">
        <w:rPr>
          <w:rFonts w:eastAsia="Times New Roman" w:cs="Times New Roman"/>
          <w:sz w:val="20"/>
          <w:szCs w:val="20"/>
          <w:bdr w:val="none" w:sz="0" w:space="0" w:color="auto" w:frame="1"/>
          <w:lang w:eastAsia="ru-RU"/>
        </w:rPr>
        <w:t> по факту будет превышен. При необходимости организация уточняет состав </w:t>
      </w:r>
      <w:r w:rsidRPr="004B2F50">
        <w:rPr>
          <w:rFonts w:eastAsia="Times New Roman" w:cs="Times New Roman"/>
          <w:i/>
          <w:iCs/>
          <w:sz w:val="20"/>
          <w:szCs w:val="20"/>
          <w:bdr w:val="none" w:sz="0" w:space="0" w:color="auto" w:frame="1"/>
          <w:lang w:eastAsia="ru-RU"/>
        </w:rPr>
        <w:t>несущественных активов </w:t>
      </w:r>
      <w:r w:rsidRPr="004B2F50">
        <w:rPr>
          <w:rFonts w:eastAsia="Times New Roman" w:cs="Times New Roman"/>
          <w:sz w:val="20"/>
          <w:szCs w:val="20"/>
          <w:bdr w:val="none" w:sz="0" w:space="0" w:color="auto" w:frame="1"/>
          <w:lang w:eastAsia="ru-RU"/>
        </w:rPr>
        <w:t>таким образом, чтобы обеспечить соблюдение указанного условия.</w:t>
      </w:r>
    </w:p>
    <w:p w14:paraId="161F83B7"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7. </w:t>
      </w:r>
      <w:r w:rsidRPr="004B2F50">
        <w:rPr>
          <w:rFonts w:eastAsia="Times New Roman" w:cs="Times New Roman"/>
          <w:sz w:val="20"/>
          <w:szCs w:val="20"/>
          <w:bdr w:val="none" w:sz="0" w:space="0" w:color="auto" w:frame="1"/>
          <w:lang w:eastAsia="ru-RU"/>
        </w:rPr>
        <w:t>Определенный настоящей Рекомендацией порядок применения пункта 5 ФСБУ 6/2020 подлежит проверке на соответствие условиям и характеру инвестиционной деятельности организации. Такая проверка проводится в конце каждого отчетного года, а также при наступлении обстоятельств, свидетельствующих об изменениях условий инвестиционной деятельности организации или характера этой деятельности. По результатам такой проверки при необходимости организация принимает решение об изменении используемых </w:t>
      </w:r>
      <w:r w:rsidRPr="004B2F50">
        <w:rPr>
          <w:rFonts w:eastAsia="Times New Roman" w:cs="Times New Roman"/>
          <w:i/>
          <w:iCs/>
          <w:sz w:val="20"/>
          <w:szCs w:val="20"/>
          <w:bdr w:val="none" w:sz="0" w:space="0" w:color="auto" w:frame="1"/>
          <w:lang w:eastAsia="ru-RU"/>
        </w:rPr>
        <w:t>релевантных показателей</w:t>
      </w:r>
      <w:r w:rsidRPr="004B2F50">
        <w:rPr>
          <w:rFonts w:eastAsia="Times New Roman" w:cs="Times New Roman"/>
          <w:sz w:val="20"/>
          <w:szCs w:val="20"/>
          <w:bdr w:val="none" w:sz="0" w:space="0" w:color="auto" w:frame="1"/>
          <w:lang w:eastAsia="ru-RU"/>
        </w:rPr>
        <w:t>, количественных значений </w:t>
      </w:r>
      <w:r w:rsidRPr="004B2F50">
        <w:rPr>
          <w:rFonts w:eastAsia="Times New Roman" w:cs="Times New Roman"/>
          <w:i/>
          <w:iCs/>
          <w:sz w:val="20"/>
          <w:szCs w:val="20"/>
          <w:bdr w:val="none" w:sz="0" w:space="0" w:color="auto" w:frame="1"/>
          <w:lang w:eastAsia="ru-RU"/>
        </w:rPr>
        <w:t>лимита</w:t>
      </w:r>
      <w:r w:rsidRPr="004B2F50">
        <w:rPr>
          <w:rFonts w:eastAsia="Times New Roman" w:cs="Times New Roman"/>
          <w:sz w:val="20"/>
          <w:szCs w:val="20"/>
          <w:bdr w:val="none" w:sz="0" w:space="0" w:color="auto" w:frame="1"/>
          <w:lang w:eastAsia="ru-RU"/>
        </w:rPr>
        <w:t>, состава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Рекомендуется увязывать такую проверку с проверкой элементов амортизации основных средств, предусмотренной пунктом 37 ФСБУ 6/2020, и проводить обе указанные проверки в рамках единой процедуры. Корректировки, возникшие в связи с результатами предусмотренной настоящим пунктом проверки, отражаются в бухгалтерском учете как изменения оценочных значений аналогично отражению корректировок по результатам проверки элементов амортизации основных средств в соответствии с пунктом 37 ФСБУ 6/2020.</w:t>
      </w:r>
    </w:p>
    <w:p w14:paraId="520CC172"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8. </w:t>
      </w:r>
      <w:r w:rsidRPr="004B2F50">
        <w:rPr>
          <w:rFonts w:eastAsia="Times New Roman" w:cs="Times New Roman"/>
          <w:sz w:val="20"/>
          <w:szCs w:val="20"/>
          <w:bdr w:val="none" w:sz="0" w:space="0" w:color="auto" w:frame="1"/>
          <w:lang w:eastAsia="ru-RU"/>
        </w:rPr>
        <w:t>Затраты на приобретение, создание, улучшение, восстановление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признаются расходами периода, в котором они понесены. В этой связи требования подпункта «б» пункта 45 ФСБУ 6/2020 о раскрытии сверки остатков и движения основных средств не распространяются на </w:t>
      </w:r>
      <w:r w:rsidRPr="004B2F50">
        <w:rPr>
          <w:rFonts w:eastAsia="Times New Roman" w:cs="Times New Roman"/>
          <w:i/>
          <w:iCs/>
          <w:sz w:val="20"/>
          <w:szCs w:val="20"/>
          <w:bdr w:val="none" w:sz="0" w:space="0" w:color="auto" w:frame="1"/>
          <w:lang w:eastAsia="ru-RU"/>
        </w:rPr>
        <w:t>несущественные активы</w:t>
      </w:r>
      <w:r w:rsidRPr="004B2F50">
        <w:rPr>
          <w:rFonts w:eastAsia="Times New Roman" w:cs="Times New Roman"/>
          <w:sz w:val="20"/>
          <w:szCs w:val="20"/>
          <w:bdr w:val="none" w:sz="0" w:space="0" w:color="auto" w:frame="1"/>
          <w:lang w:eastAsia="ru-RU"/>
        </w:rPr>
        <w:t>.</w:t>
      </w:r>
    </w:p>
    <w:p w14:paraId="4E661492"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9. </w:t>
      </w:r>
      <w:r w:rsidRPr="004B2F50">
        <w:rPr>
          <w:rFonts w:eastAsia="Times New Roman" w:cs="Times New Roman"/>
          <w:sz w:val="20"/>
          <w:szCs w:val="20"/>
          <w:bdr w:val="none" w:sz="0" w:space="0" w:color="auto" w:frame="1"/>
          <w:lang w:eastAsia="ru-RU"/>
        </w:rPr>
        <w:t>Принятие организацией </w:t>
      </w:r>
      <w:r w:rsidRPr="004B2F50">
        <w:rPr>
          <w:rFonts w:eastAsia="Times New Roman" w:cs="Times New Roman"/>
          <w:i/>
          <w:iCs/>
          <w:sz w:val="20"/>
          <w:szCs w:val="20"/>
          <w:bdr w:val="none" w:sz="0" w:space="0" w:color="auto" w:frame="1"/>
          <w:lang w:eastAsia="ru-RU"/>
        </w:rPr>
        <w:t>решения</w:t>
      </w:r>
      <w:r w:rsidRPr="004B2F50">
        <w:rPr>
          <w:rFonts w:eastAsia="Times New Roman" w:cs="Times New Roman"/>
          <w:sz w:val="20"/>
          <w:szCs w:val="20"/>
          <w:bdr w:val="none" w:sz="0" w:space="0" w:color="auto" w:frame="1"/>
          <w:lang w:eastAsia="ru-RU"/>
        </w:rPr>
        <w:t> не является основанием для изменения классификации финансовых результатов и денежных потоков организации, связанных с </w:t>
      </w:r>
      <w:r w:rsidRPr="004B2F50">
        <w:rPr>
          <w:rFonts w:eastAsia="Times New Roman" w:cs="Times New Roman"/>
          <w:i/>
          <w:iCs/>
          <w:sz w:val="20"/>
          <w:szCs w:val="20"/>
          <w:bdr w:val="none" w:sz="0" w:space="0" w:color="auto" w:frame="1"/>
          <w:lang w:eastAsia="ru-RU"/>
        </w:rPr>
        <w:t>несущественными активами</w:t>
      </w:r>
      <w:r w:rsidRPr="004B2F50">
        <w:rPr>
          <w:rFonts w:eastAsia="Times New Roman" w:cs="Times New Roman"/>
          <w:sz w:val="20"/>
          <w:szCs w:val="20"/>
          <w:bdr w:val="none" w:sz="0" w:space="0" w:color="auto" w:frame="1"/>
          <w:lang w:eastAsia="ru-RU"/>
        </w:rPr>
        <w:t>, а также других связанных показателей бухгалтерской отчетности. В этой связи, настоящая Рекомендация исходит из предположения о том, что:</w:t>
      </w:r>
    </w:p>
    <w:p w14:paraId="3D2FFCEE" w14:textId="77777777" w:rsidR="004B2F50" w:rsidRPr="004B2F50" w:rsidRDefault="004B2F50" w:rsidP="004B2F50">
      <w:pPr>
        <w:numPr>
          <w:ilvl w:val="0"/>
          <w:numId w:val="1"/>
        </w:numPr>
        <w:spacing w:after="0" w:line="240" w:lineRule="auto"/>
        <w:ind w:left="0"/>
        <w:textAlignment w:val="baseline"/>
        <w:rPr>
          <w:rFonts w:eastAsia="Times New Roman" w:cs="Times New Roman"/>
          <w:sz w:val="20"/>
          <w:szCs w:val="20"/>
          <w:lang w:eastAsia="ru-RU"/>
        </w:rPr>
      </w:pPr>
      <w:r w:rsidRPr="004B2F50">
        <w:rPr>
          <w:rFonts w:eastAsia="Times New Roman" w:cs="Times New Roman"/>
          <w:sz w:val="20"/>
          <w:szCs w:val="20"/>
          <w:bdr w:val="none" w:sz="0" w:space="0" w:color="auto" w:frame="1"/>
          <w:lang w:eastAsia="ru-RU"/>
        </w:rPr>
        <w:t>расходы, признаваемые в соответствии с пунктом 8 настоящей Рекомендации, включаются в ту статью (статьи) отчета о финансовых результатах, в которую включалась бы амортизация основных средств в отсутствии </w:t>
      </w:r>
      <w:r w:rsidRPr="004B2F50">
        <w:rPr>
          <w:rFonts w:eastAsia="Times New Roman" w:cs="Times New Roman"/>
          <w:i/>
          <w:iCs/>
          <w:sz w:val="20"/>
          <w:szCs w:val="20"/>
          <w:bdr w:val="none" w:sz="0" w:space="0" w:color="auto" w:frame="1"/>
          <w:lang w:eastAsia="ru-RU"/>
        </w:rPr>
        <w:t>решения</w:t>
      </w:r>
      <w:r w:rsidRPr="004B2F50">
        <w:rPr>
          <w:rFonts w:eastAsia="Times New Roman" w:cs="Times New Roman"/>
          <w:sz w:val="20"/>
          <w:szCs w:val="20"/>
          <w:bdr w:val="none" w:sz="0" w:space="0" w:color="auto" w:frame="1"/>
          <w:lang w:eastAsia="ru-RU"/>
        </w:rPr>
        <w:t>; при представлении элементов затрат на производство в приложениях к отчету о финансовых результатах (табл.6 Прил.№3 к приказу Минфина РФ от 02.07.2010 №66н) указанные расходы представляются вместе с амортизацией</w:t>
      </w:r>
      <w:hyperlink r:id="rId7" w:anchor="_ftn1" w:history="1">
        <w:r w:rsidRPr="004B2F50">
          <w:rPr>
            <w:rFonts w:eastAsia="Times New Roman" w:cs="Times New Roman"/>
            <w:sz w:val="20"/>
            <w:szCs w:val="20"/>
            <w:u w:val="single"/>
            <w:bdr w:val="none" w:sz="0" w:space="0" w:color="auto" w:frame="1"/>
            <w:lang w:eastAsia="ru-RU"/>
          </w:rPr>
          <w:t>[1]</w:t>
        </w:r>
      </w:hyperlink>
      <w:r w:rsidRPr="004B2F50">
        <w:rPr>
          <w:rFonts w:eastAsia="Times New Roman" w:cs="Times New Roman"/>
          <w:sz w:val="20"/>
          <w:szCs w:val="20"/>
          <w:bdr w:val="none" w:sz="0" w:space="0" w:color="auto" w:frame="1"/>
          <w:lang w:eastAsia="ru-RU"/>
        </w:rPr>
        <w:t>;</w:t>
      </w:r>
      <w:bookmarkStart w:id="0" w:name="_ftnref1"/>
      <w:bookmarkEnd w:id="0"/>
    </w:p>
    <w:p w14:paraId="750712C5" w14:textId="77777777" w:rsidR="004B2F50" w:rsidRPr="004B2F50" w:rsidRDefault="004B2F50" w:rsidP="004B2F50">
      <w:pPr>
        <w:numPr>
          <w:ilvl w:val="0"/>
          <w:numId w:val="1"/>
        </w:numPr>
        <w:spacing w:after="0" w:line="240" w:lineRule="auto"/>
        <w:ind w:left="0"/>
        <w:textAlignment w:val="baseline"/>
        <w:rPr>
          <w:rFonts w:eastAsia="Times New Roman" w:cs="Times New Roman"/>
          <w:sz w:val="20"/>
          <w:szCs w:val="20"/>
          <w:lang w:eastAsia="ru-RU"/>
        </w:rPr>
      </w:pPr>
      <w:r w:rsidRPr="004B2F50">
        <w:rPr>
          <w:rFonts w:eastAsia="Times New Roman" w:cs="Times New Roman"/>
          <w:sz w:val="20"/>
          <w:szCs w:val="20"/>
          <w:bdr w:val="none" w:sz="0" w:space="0" w:color="auto" w:frame="1"/>
          <w:lang w:eastAsia="ru-RU"/>
        </w:rPr>
        <w:t>платежи организации в связи с приобретением, созданием, улучшением, восстановлением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представляются в отчете о движении денежных средств в составе денежных потоков от инвестиционных операций;</w:t>
      </w:r>
    </w:p>
    <w:p w14:paraId="2B680761" w14:textId="77777777" w:rsidR="004B2F50" w:rsidRPr="004B2F50" w:rsidRDefault="004B2F50" w:rsidP="004B2F50">
      <w:pPr>
        <w:numPr>
          <w:ilvl w:val="0"/>
          <w:numId w:val="1"/>
        </w:numPr>
        <w:spacing w:after="0" w:line="240" w:lineRule="auto"/>
        <w:ind w:left="0"/>
        <w:textAlignment w:val="baseline"/>
        <w:rPr>
          <w:rFonts w:eastAsia="Times New Roman" w:cs="Times New Roman"/>
          <w:sz w:val="20"/>
          <w:szCs w:val="20"/>
          <w:lang w:eastAsia="ru-RU"/>
        </w:rPr>
      </w:pPr>
      <w:r w:rsidRPr="004B2F50">
        <w:rPr>
          <w:rFonts w:eastAsia="Times New Roman" w:cs="Times New Roman"/>
          <w:sz w:val="20"/>
          <w:szCs w:val="20"/>
          <w:bdr w:val="none" w:sz="0" w:space="0" w:color="auto" w:frame="1"/>
          <w:lang w:eastAsia="ru-RU"/>
        </w:rPr>
        <w:lastRenderedPageBreak/>
        <w:t>авансы, предварительная оплата, задатки, уплаченные организацией в связи с приобретением, созданием, улучшением, восстановлением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включаются в ту же статью бухгалтерского баланса, в которой организация представляет авансы, предварительную оплату, задатки, уплаченные организацией в связи с осуществлением капитальных вложений.</w:t>
      </w:r>
    </w:p>
    <w:p w14:paraId="50EFD8CC"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sz w:val="20"/>
          <w:szCs w:val="20"/>
          <w:bdr w:val="none" w:sz="0" w:space="0" w:color="auto" w:frame="1"/>
          <w:lang w:eastAsia="ru-RU"/>
        </w:rPr>
        <w:t>В случае если организация намерена изменить классификацию финансовых результатов, денежных потоков или других показателей бухгалтерской отчетности, связанных с </w:t>
      </w:r>
      <w:r w:rsidRPr="004B2F50">
        <w:rPr>
          <w:rFonts w:eastAsia="Times New Roman" w:cs="Times New Roman"/>
          <w:i/>
          <w:iCs/>
          <w:sz w:val="20"/>
          <w:szCs w:val="20"/>
          <w:bdr w:val="none" w:sz="0" w:space="0" w:color="auto" w:frame="1"/>
          <w:lang w:eastAsia="ru-RU"/>
        </w:rPr>
        <w:t>несущественными активами</w:t>
      </w:r>
      <w:r w:rsidRPr="004B2F50">
        <w:rPr>
          <w:rFonts w:eastAsia="Times New Roman" w:cs="Times New Roman"/>
          <w:sz w:val="20"/>
          <w:szCs w:val="20"/>
          <w:bdr w:val="none" w:sz="0" w:space="0" w:color="auto" w:frame="1"/>
          <w:lang w:eastAsia="ru-RU"/>
        </w:rPr>
        <w:t>, она не может обосновывать такую учетную политику положениями настоящей Рекомендации. При этом в случае если организация обосновывает такую учетную политику несущественностью влияния на бухгалтерскую отчетность на основании пункта 7.4 ПБУ 1/2008, то для подтверждения такой несущественности должен быть рассмотрен более широкий спектр возможных последствий для бухгалтерской отчетности, чем рассматривается в настоящей Рекомендации, в том числе дополнительные факторы помимо указанных в пункте 5 настоящей Рекомендации. Это может привести к необходимости установить более низкое количественное значение </w:t>
      </w:r>
      <w:r w:rsidRPr="004B2F50">
        <w:rPr>
          <w:rFonts w:eastAsia="Times New Roman" w:cs="Times New Roman"/>
          <w:i/>
          <w:iCs/>
          <w:sz w:val="20"/>
          <w:szCs w:val="20"/>
          <w:bdr w:val="none" w:sz="0" w:space="0" w:color="auto" w:frame="1"/>
          <w:lang w:eastAsia="ru-RU"/>
        </w:rPr>
        <w:t>лимита</w:t>
      </w:r>
      <w:r w:rsidRPr="004B2F50">
        <w:rPr>
          <w:rFonts w:eastAsia="Times New Roman" w:cs="Times New Roman"/>
          <w:sz w:val="20"/>
          <w:szCs w:val="20"/>
          <w:bdr w:val="none" w:sz="0" w:space="0" w:color="auto" w:frame="1"/>
          <w:lang w:eastAsia="ru-RU"/>
        </w:rPr>
        <w:t> по сравнению с тем, которое могло бы быть установлено в отсутствии указанных переклассификаций.</w:t>
      </w:r>
    </w:p>
    <w:p w14:paraId="1C5CEBAB" w14:textId="77777777" w:rsidR="004B2F50" w:rsidRPr="004B2F50" w:rsidRDefault="004B2F50" w:rsidP="004B2F50">
      <w:pPr>
        <w:shd w:val="clear" w:color="auto" w:fill="FFFFFF"/>
        <w:spacing w:after="0" w:line="240" w:lineRule="auto"/>
        <w:textAlignment w:val="baseline"/>
        <w:rPr>
          <w:rFonts w:eastAsia="Times New Roman" w:cs="Times New Roman"/>
          <w:sz w:val="20"/>
          <w:szCs w:val="20"/>
          <w:lang w:eastAsia="ru-RU"/>
        </w:rPr>
      </w:pPr>
      <w:r w:rsidRPr="004B2F50">
        <w:rPr>
          <w:rFonts w:eastAsia="Times New Roman" w:cs="Times New Roman"/>
          <w:bCs/>
          <w:sz w:val="20"/>
          <w:szCs w:val="20"/>
          <w:bdr w:val="none" w:sz="0" w:space="0" w:color="auto" w:frame="1"/>
          <w:lang w:eastAsia="ru-RU"/>
        </w:rPr>
        <w:t>10. </w:t>
      </w:r>
      <w:r w:rsidRPr="004B2F50">
        <w:rPr>
          <w:rFonts w:eastAsia="Times New Roman" w:cs="Times New Roman"/>
          <w:sz w:val="20"/>
          <w:szCs w:val="20"/>
          <w:bdr w:val="none" w:sz="0" w:space="0" w:color="auto" w:frame="1"/>
          <w:lang w:eastAsia="ru-RU"/>
        </w:rPr>
        <w:t>В целях обеспечения надлежащего контроля наличия и движения </w:t>
      </w:r>
      <w:r w:rsidRPr="004B2F50">
        <w:rPr>
          <w:rFonts w:eastAsia="Times New Roman" w:cs="Times New Roman"/>
          <w:i/>
          <w:iCs/>
          <w:sz w:val="20"/>
          <w:szCs w:val="20"/>
          <w:bdr w:val="none" w:sz="0" w:space="0" w:color="auto" w:frame="1"/>
          <w:lang w:eastAsia="ru-RU"/>
        </w:rPr>
        <w:t>несущественных активов</w:t>
      </w:r>
      <w:r w:rsidRPr="004B2F50">
        <w:rPr>
          <w:rFonts w:eastAsia="Times New Roman" w:cs="Times New Roman"/>
          <w:sz w:val="20"/>
          <w:szCs w:val="20"/>
          <w:bdr w:val="none" w:sz="0" w:space="0" w:color="auto" w:frame="1"/>
          <w:lang w:eastAsia="ru-RU"/>
        </w:rPr>
        <w:t> организация не обязана производить их денежную оценку и отражать их на счетах бухгалтерского учета, включая забалансовые счета. Такой контроль может осуществляться без участия бухгалтерской службы уполномоченными лицами организации с помощью документов, удостоверяющих материальную ответственность работников за вверенное им имущество, зафиксированное в указанных документах в натуральных единицах.</w:t>
      </w:r>
    </w:p>
    <w:p w14:paraId="33C9C5A1" w14:textId="77777777" w:rsidR="00B755B3" w:rsidRPr="004B2F50" w:rsidRDefault="00B755B3" w:rsidP="004B2F50">
      <w:pPr>
        <w:rPr>
          <w:sz w:val="20"/>
          <w:szCs w:val="20"/>
        </w:rPr>
      </w:pPr>
    </w:p>
    <w:p w14:paraId="5EAF8867" w14:textId="77777777" w:rsidR="00B755B3" w:rsidRDefault="00B755B3" w:rsidP="00B755B3">
      <w:pPr>
        <w:rPr>
          <w:sz w:val="20"/>
          <w:szCs w:val="20"/>
        </w:rPr>
      </w:pPr>
    </w:p>
    <w:p w14:paraId="0F10CC3C" w14:textId="77777777" w:rsidR="00106C0E" w:rsidRDefault="00106C0E">
      <w:pPr>
        <w:rPr>
          <w:sz w:val="20"/>
          <w:szCs w:val="20"/>
        </w:rPr>
      </w:pPr>
      <w:r>
        <w:rPr>
          <w:sz w:val="20"/>
          <w:szCs w:val="20"/>
        </w:rPr>
        <w:br w:type="page"/>
      </w:r>
    </w:p>
    <w:p w14:paraId="1277D418" w14:textId="77777777" w:rsid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ВОПРОС 15</w:t>
      </w:r>
    </w:p>
    <w:p w14:paraId="1A105C56" w14:textId="77777777" w:rsid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color w:val="000000"/>
          <w:sz w:val="20"/>
          <w:szCs w:val="20"/>
          <w:lang w:eastAsia="ru-RU"/>
        </w:rPr>
      </w:pPr>
    </w:p>
    <w:p w14:paraId="00B30AE4" w14:textId="77777777" w:rsid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color w:val="000000"/>
          <w:sz w:val="20"/>
          <w:szCs w:val="20"/>
          <w:lang w:eastAsia="ru-RU"/>
        </w:rPr>
      </w:pPr>
      <w:r w:rsidRPr="00106C0E">
        <w:rPr>
          <w:rFonts w:eastAsia="Times New Roman" w:cs="Times New Roman"/>
          <w:color w:val="000000"/>
          <w:sz w:val="20"/>
          <w:szCs w:val="20"/>
          <w:lang w:eastAsia="ru-RU"/>
        </w:rPr>
        <w:t>Людмила Сергеевна Б.</w:t>
      </w:r>
    </w:p>
    <w:p w14:paraId="6FB5706B" w14:textId="77777777" w:rsid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color w:val="000000"/>
          <w:sz w:val="20"/>
          <w:szCs w:val="20"/>
          <w:lang w:eastAsia="ru-RU"/>
        </w:rPr>
      </w:pPr>
    </w:p>
    <w:p w14:paraId="1EA69D6E"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sz w:val="20"/>
          <w:szCs w:val="20"/>
          <w:lang w:eastAsia="ru-RU"/>
        </w:rPr>
      </w:pPr>
      <w:r w:rsidRPr="00106C0E">
        <w:rPr>
          <w:rFonts w:eastAsia="Times New Roman" w:cs="Times New Roman"/>
          <w:color w:val="000000"/>
          <w:sz w:val="20"/>
          <w:szCs w:val="20"/>
          <w:lang w:eastAsia="ru-RU"/>
        </w:rPr>
        <w:t>5. Посоветуйте бесплатные / недорогие системы по отправке отчётности. Получили впервые подпись электронную. Отправляем через E-invoicing в Сбер- бизнесе, но почему-то во время отправки файл искажается.</w:t>
      </w:r>
      <w:r w:rsidRPr="00106C0E">
        <w:rPr>
          <w:rFonts w:eastAsia="Times New Roman" w:cs="Arial"/>
          <w:color w:val="2C2D2E"/>
          <w:sz w:val="20"/>
          <w:szCs w:val="20"/>
          <w:lang w:eastAsia="ru-RU"/>
        </w:rPr>
        <w:t> </w:t>
      </w:r>
    </w:p>
    <w:p w14:paraId="78F23AD5"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outlineLvl w:val="0"/>
        <w:rPr>
          <w:rFonts w:eastAsia="Times New Roman" w:cs="Times New Roman"/>
          <w:b/>
          <w:bCs/>
          <w:color w:val="000000"/>
          <w:kern w:val="36"/>
          <w:sz w:val="20"/>
          <w:szCs w:val="20"/>
          <w:lang w:eastAsia="ru-RU"/>
        </w:rPr>
      </w:pPr>
    </w:p>
    <w:p w14:paraId="7FC7EE38" w14:textId="77777777" w:rsidR="00106C0E" w:rsidRDefault="00106C0E" w:rsidP="00106C0E">
      <w:pPr>
        <w:shd w:val="clear" w:color="auto" w:fill="FFFFFF"/>
        <w:spacing w:after="0" w:line="240" w:lineRule="auto"/>
        <w:ind w:firstLine="567"/>
        <w:jc w:val="both"/>
        <w:outlineLvl w:val="0"/>
        <w:rPr>
          <w:rFonts w:eastAsia="Times New Roman" w:cs="Times New Roman"/>
          <w:b/>
          <w:bCs/>
          <w:color w:val="000000"/>
          <w:kern w:val="36"/>
          <w:sz w:val="20"/>
          <w:szCs w:val="20"/>
          <w:lang w:eastAsia="ru-RU"/>
        </w:rPr>
      </w:pPr>
    </w:p>
    <w:p w14:paraId="340AC977" w14:textId="77777777" w:rsidR="00106C0E" w:rsidRDefault="00106C0E">
      <w:pPr>
        <w:rPr>
          <w:rFonts w:eastAsia="Times New Roman" w:cs="Times New Roman"/>
          <w:b/>
          <w:bCs/>
          <w:color w:val="000000"/>
          <w:kern w:val="36"/>
          <w:sz w:val="20"/>
          <w:szCs w:val="20"/>
          <w:lang w:eastAsia="ru-RU"/>
        </w:rPr>
      </w:pPr>
      <w:r>
        <w:rPr>
          <w:rFonts w:eastAsia="Times New Roman" w:cs="Times New Roman"/>
          <w:b/>
          <w:bCs/>
          <w:color w:val="000000"/>
          <w:kern w:val="36"/>
          <w:sz w:val="20"/>
          <w:szCs w:val="20"/>
          <w:lang w:eastAsia="ru-RU"/>
        </w:rPr>
        <w:br w:type="page"/>
      </w:r>
    </w:p>
    <w:p w14:paraId="1CDF9C18" w14:textId="77777777" w:rsid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outlineLvl w:val="0"/>
        <w:rPr>
          <w:rFonts w:eastAsia="Times New Roman" w:cs="Times New Roman"/>
          <w:b/>
          <w:bCs/>
          <w:color w:val="000000"/>
          <w:kern w:val="36"/>
          <w:sz w:val="20"/>
          <w:szCs w:val="20"/>
          <w:lang w:eastAsia="ru-RU"/>
        </w:rPr>
      </w:pPr>
      <w:r>
        <w:rPr>
          <w:rFonts w:eastAsia="Times New Roman" w:cs="Times New Roman"/>
          <w:b/>
          <w:bCs/>
          <w:color w:val="000000"/>
          <w:kern w:val="36"/>
          <w:sz w:val="20"/>
          <w:szCs w:val="20"/>
          <w:lang w:eastAsia="ru-RU"/>
        </w:rPr>
        <w:lastRenderedPageBreak/>
        <w:t xml:space="preserve">ВОПРОС </w:t>
      </w:r>
      <w:r w:rsidRPr="00106C0E">
        <w:rPr>
          <w:rFonts w:eastAsia="Times New Roman" w:cs="Times New Roman"/>
          <w:b/>
          <w:bCs/>
          <w:color w:val="000000"/>
          <w:kern w:val="36"/>
          <w:sz w:val="20"/>
          <w:szCs w:val="20"/>
          <w:lang w:eastAsia="ru-RU"/>
        </w:rPr>
        <w:t xml:space="preserve">16. </w:t>
      </w:r>
    </w:p>
    <w:p w14:paraId="49741198"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outlineLvl w:val="0"/>
        <w:rPr>
          <w:rFonts w:eastAsia="Times New Roman" w:cs="Times New Roman"/>
          <w:b/>
          <w:bCs/>
          <w:kern w:val="36"/>
          <w:sz w:val="20"/>
          <w:szCs w:val="20"/>
          <w:lang w:eastAsia="ru-RU"/>
        </w:rPr>
      </w:pPr>
      <w:r w:rsidRPr="00106C0E">
        <w:rPr>
          <w:rFonts w:eastAsia="Times New Roman" w:cs="Times New Roman"/>
          <w:b/>
          <w:bCs/>
          <w:color w:val="000000"/>
          <w:kern w:val="36"/>
          <w:sz w:val="20"/>
          <w:szCs w:val="20"/>
          <w:lang w:eastAsia="ru-RU"/>
        </w:rPr>
        <w:t>Елена Григорьевна Т.</w:t>
      </w:r>
    </w:p>
    <w:p w14:paraId="04D3DC00"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sz w:val="20"/>
          <w:szCs w:val="20"/>
          <w:lang w:eastAsia="ru-RU"/>
        </w:rPr>
      </w:pPr>
    </w:p>
    <w:p w14:paraId="4EAB8F11"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106C0E">
        <w:rPr>
          <w:rFonts w:eastAsia="Times New Roman" w:cs="Times New Roman"/>
          <w:color w:val="000000"/>
          <w:sz w:val="20"/>
          <w:szCs w:val="20"/>
          <w:lang w:eastAsia="ru-RU"/>
        </w:rPr>
        <w:t>НКО, имеющее право на упрощённый бухгалтерский учет, в связи с началом действия ФСБУ 6/2020 применяет перспективный метод перехода. </w:t>
      </w:r>
    </w:p>
    <w:p w14:paraId="269C5951"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106C0E">
        <w:rPr>
          <w:rFonts w:eastAsia="Times New Roman" w:cs="Times New Roman"/>
          <w:color w:val="000000"/>
          <w:sz w:val="20"/>
          <w:szCs w:val="20"/>
          <w:lang w:eastAsia="ru-RU"/>
        </w:rPr>
        <w:t>Вопрос: как при переходе распорядиться ОС с нулевой остаточной стоимостью, если:</w:t>
      </w:r>
    </w:p>
    <w:p w14:paraId="571B3F9B"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106C0E">
        <w:rPr>
          <w:rFonts w:eastAsia="Times New Roman" w:cs="Times New Roman"/>
          <w:color w:val="000000"/>
          <w:sz w:val="20"/>
          <w:szCs w:val="20"/>
          <w:lang w:eastAsia="ru-RU"/>
        </w:rPr>
        <w:t>ОС первоначальной стоимостью менее утверждённого в НКО лимита;</w:t>
      </w:r>
    </w:p>
    <w:p w14:paraId="4B640C94"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106C0E">
        <w:rPr>
          <w:rFonts w:eastAsia="Times New Roman" w:cs="Times New Roman"/>
          <w:color w:val="000000"/>
          <w:sz w:val="20"/>
          <w:szCs w:val="20"/>
          <w:lang w:eastAsia="ru-RU"/>
        </w:rPr>
        <w:t>ОС  первоначальной стоимостью более утвержденного в НКО лимита?</w:t>
      </w:r>
    </w:p>
    <w:p w14:paraId="5843597D" w14:textId="77777777" w:rsidR="00106C0E" w:rsidRPr="00106C0E" w:rsidRDefault="00106C0E" w:rsidP="00106C0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eastAsia="Times New Roman" w:cs="Times New Roman"/>
          <w:sz w:val="20"/>
          <w:szCs w:val="20"/>
          <w:lang w:eastAsia="ru-RU"/>
        </w:rPr>
      </w:pPr>
      <w:r w:rsidRPr="00106C0E">
        <w:rPr>
          <w:rFonts w:eastAsia="Times New Roman" w:cs="Times New Roman"/>
          <w:color w:val="000000"/>
          <w:sz w:val="20"/>
          <w:szCs w:val="20"/>
          <w:lang w:eastAsia="ru-RU"/>
        </w:rPr>
        <w:t> Все ОС продолжают использоваться в  основной деятельности организации.</w:t>
      </w:r>
    </w:p>
    <w:p w14:paraId="2ACCF471" w14:textId="77777777" w:rsidR="00106C0E" w:rsidRDefault="00106C0E">
      <w:pPr>
        <w:rPr>
          <w:sz w:val="20"/>
          <w:szCs w:val="20"/>
        </w:rPr>
      </w:pPr>
    </w:p>
    <w:p w14:paraId="13CA5956" w14:textId="77777777" w:rsidR="00361BC1" w:rsidRDefault="00361BC1">
      <w:pPr>
        <w:rPr>
          <w:sz w:val="20"/>
          <w:szCs w:val="20"/>
        </w:rPr>
      </w:pPr>
      <w:r>
        <w:rPr>
          <w:sz w:val="20"/>
          <w:szCs w:val="20"/>
        </w:rPr>
        <w:br w:type="page"/>
      </w:r>
    </w:p>
    <w:p w14:paraId="54D1FA41" w14:textId="7CF5C326" w:rsidR="00361BC1" w:rsidRPr="00361BC1" w:rsidRDefault="00361BC1" w:rsidP="00361BC1">
      <w:pPr>
        <w:pBdr>
          <w:top w:val="single" w:sz="4" w:space="1" w:color="auto"/>
          <w:left w:val="single" w:sz="4" w:space="4" w:color="auto"/>
          <w:bottom w:val="single" w:sz="4" w:space="1" w:color="auto"/>
          <w:right w:val="single" w:sz="4" w:space="4" w:color="auto"/>
        </w:pBdr>
        <w:rPr>
          <w:b/>
          <w:sz w:val="20"/>
          <w:szCs w:val="20"/>
        </w:rPr>
      </w:pPr>
      <w:r w:rsidRPr="00361BC1">
        <w:rPr>
          <w:b/>
          <w:sz w:val="20"/>
          <w:szCs w:val="20"/>
        </w:rPr>
        <w:lastRenderedPageBreak/>
        <w:t xml:space="preserve">ВОПРОС </w:t>
      </w:r>
      <w:r w:rsidR="00E568E0">
        <w:rPr>
          <w:b/>
          <w:sz w:val="20"/>
          <w:szCs w:val="20"/>
        </w:rPr>
        <w:t>1</w:t>
      </w:r>
      <w:r w:rsidRPr="00361BC1">
        <w:rPr>
          <w:b/>
          <w:sz w:val="20"/>
          <w:szCs w:val="20"/>
        </w:rPr>
        <w:t>8.</w:t>
      </w:r>
    </w:p>
    <w:p w14:paraId="167A6A6E" w14:textId="77777777" w:rsidR="00361BC1" w:rsidRPr="00361BC1" w:rsidRDefault="00361BC1" w:rsidP="00361BC1">
      <w:pPr>
        <w:pBdr>
          <w:top w:val="single" w:sz="4" w:space="1" w:color="auto"/>
          <w:left w:val="single" w:sz="4" w:space="4" w:color="auto"/>
          <w:bottom w:val="single" w:sz="4" w:space="1" w:color="auto"/>
          <w:right w:val="single" w:sz="4" w:space="4" w:color="auto"/>
        </w:pBdr>
        <w:rPr>
          <w:b/>
          <w:sz w:val="20"/>
          <w:szCs w:val="20"/>
        </w:rPr>
      </w:pPr>
      <w:r w:rsidRPr="00361BC1">
        <w:rPr>
          <w:b/>
          <w:sz w:val="20"/>
          <w:szCs w:val="20"/>
        </w:rPr>
        <w:t>Зоя Ивановна Ш.</w:t>
      </w:r>
    </w:p>
    <w:p w14:paraId="7151B721" w14:textId="77777777" w:rsidR="00361BC1" w:rsidRPr="00361BC1" w:rsidRDefault="00361BC1" w:rsidP="00361BC1">
      <w:pPr>
        <w:pBdr>
          <w:top w:val="single" w:sz="4" w:space="1" w:color="auto"/>
          <w:left w:val="single" w:sz="4" w:space="4" w:color="auto"/>
          <w:bottom w:val="single" w:sz="4" w:space="1" w:color="auto"/>
          <w:right w:val="single" w:sz="4" w:space="4" w:color="auto"/>
        </w:pBdr>
        <w:rPr>
          <w:sz w:val="20"/>
          <w:szCs w:val="20"/>
        </w:rPr>
      </w:pPr>
      <w:r w:rsidRPr="00361BC1">
        <w:rPr>
          <w:sz w:val="20"/>
          <w:szCs w:val="20"/>
        </w:rPr>
        <w:t>1.правильно ли учитывать Малоценное оборудование и запасы, стоимостью до 40 тысяч с 2021 года: приобретение и выбытие (передача в эксплуатацию) отражать по счетам 10.21.1 и 10.21.2, а учет вести за балансом на МЦ.04?</w:t>
      </w:r>
    </w:p>
    <w:p w14:paraId="66EB5D87" w14:textId="77777777" w:rsidR="00361BC1" w:rsidRDefault="00361BC1" w:rsidP="00361BC1">
      <w:pPr>
        <w:pBdr>
          <w:top w:val="single" w:sz="4" w:space="1" w:color="auto"/>
          <w:left w:val="single" w:sz="4" w:space="4" w:color="auto"/>
          <w:bottom w:val="single" w:sz="4" w:space="1" w:color="auto"/>
          <w:right w:val="single" w:sz="4" w:space="4" w:color="auto"/>
        </w:pBdr>
        <w:rPr>
          <w:sz w:val="20"/>
          <w:szCs w:val="20"/>
        </w:rPr>
      </w:pPr>
      <w:r w:rsidRPr="00361BC1">
        <w:rPr>
          <w:sz w:val="20"/>
          <w:szCs w:val="20"/>
        </w:rPr>
        <w:t>2. как поступить с основными средствами стоимостью менее 100 тыс. с 2022 года?</w:t>
      </w:r>
    </w:p>
    <w:p w14:paraId="6E6FFDA6" w14:textId="77777777" w:rsidR="00361BC1" w:rsidRDefault="00361BC1" w:rsidP="00361BC1">
      <w:pPr>
        <w:rPr>
          <w:sz w:val="20"/>
          <w:szCs w:val="20"/>
        </w:rPr>
      </w:pPr>
    </w:p>
    <w:p w14:paraId="5962C1F0" w14:textId="77777777" w:rsidR="00361BC1" w:rsidRDefault="00361BC1">
      <w:pPr>
        <w:rPr>
          <w:sz w:val="20"/>
          <w:szCs w:val="20"/>
        </w:rPr>
      </w:pPr>
      <w:r>
        <w:rPr>
          <w:sz w:val="20"/>
          <w:szCs w:val="20"/>
        </w:rPr>
        <w:br w:type="page"/>
      </w:r>
    </w:p>
    <w:p w14:paraId="3CB6FF1C" w14:textId="77777777" w:rsidR="00361BC1" w:rsidRPr="00361BC1" w:rsidRDefault="00361BC1" w:rsidP="00361BC1">
      <w:pPr>
        <w:pBdr>
          <w:top w:val="single" w:sz="4" w:space="1" w:color="auto"/>
          <w:left w:val="single" w:sz="4" w:space="4" w:color="auto"/>
          <w:bottom w:val="single" w:sz="4" w:space="1" w:color="auto"/>
          <w:right w:val="single" w:sz="4" w:space="4" w:color="auto"/>
        </w:pBdr>
        <w:rPr>
          <w:b/>
          <w:sz w:val="20"/>
          <w:szCs w:val="20"/>
        </w:rPr>
      </w:pPr>
      <w:r w:rsidRPr="00361BC1">
        <w:rPr>
          <w:b/>
          <w:sz w:val="20"/>
          <w:szCs w:val="20"/>
        </w:rPr>
        <w:lastRenderedPageBreak/>
        <w:t xml:space="preserve">ВОПРОС 20. </w:t>
      </w:r>
    </w:p>
    <w:p w14:paraId="5365B6BA" w14:textId="77777777" w:rsidR="00361BC1" w:rsidRPr="00361BC1" w:rsidRDefault="00361BC1" w:rsidP="00361BC1">
      <w:pPr>
        <w:pBdr>
          <w:top w:val="single" w:sz="4" w:space="1" w:color="auto"/>
          <w:left w:val="single" w:sz="4" w:space="4" w:color="auto"/>
          <w:bottom w:val="single" w:sz="4" w:space="1" w:color="auto"/>
          <w:right w:val="single" w:sz="4" w:space="4" w:color="auto"/>
        </w:pBdr>
        <w:rPr>
          <w:b/>
          <w:sz w:val="20"/>
          <w:szCs w:val="20"/>
        </w:rPr>
      </w:pPr>
      <w:r w:rsidRPr="00361BC1">
        <w:rPr>
          <w:b/>
          <w:sz w:val="20"/>
          <w:szCs w:val="20"/>
        </w:rPr>
        <w:t>Надежда Николаевна Ю.</w:t>
      </w:r>
    </w:p>
    <w:p w14:paraId="001FEA72" w14:textId="77777777" w:rsidR="00361BC1" w:rsidRPr="00361BC1" w:rsidRDefault="00361BC1" w:rsidP="00361BC1">
      <w:pPr>
        <w:pBdr>
          <w:top w:val="single" w:sz="4" w:space="1" w:color="auto"/>
          <w:left w:val="single" w:sz="4" w:space="4" w:color="auto"/>
          <w:bottom w:val="single" w:sz="4" w:space="1" w:color="auto"/>
          <w:right w:val="single" w:sz="4" w:space="4" w:color="auto"/>
        </w:pBdr>
        <w:rPr>
          <w:sz w:val="20"/>
          <w:szCs w:val="20"/>
        </w:rPr>
      </w:pPr>
    </w:p>
    <w:p w14:paraId="6371C7F7" w14:textId="77777777" w:rsidR="00361BC1" w:rsidRDefault="00361BC1" w:rsidP="00361BC1">
      <w:pPr>
        <w:pBdr>
          <w:top w:val="single" w:sz="4" w:space="1" w:color="auto"/>
          <w:left w:val="single" w:sz="4" w:space="4" w:color="auto"/>
          <w:bottom w:val="single" w:sz="4" w:space="1" w:color="auto"/>
          <w:right w:val="single" w:sz="4" w:space="4" w:color="auto"/>
        </w:pBdr>
        <w:rPr>
          <w:sz w:val="20"/>
          <w:szCs w:val="20"/>
        </w:rPr>
      </w:pPr>
      <w:r w:rsidRPr="00361BC1">
        <w:rPr>
          <w:sz w:val="20"/>
          <w:szCs w:val="20"/>
        </w:rPr>
        <w:t>В НКО на балансе с 2009 г. числится принтер. Стоимость его (25 тыс. руб.)  давно списана (ранее лимит был 20 тыс. руб.). Могу ли я его зачислить в малоценные основные средства, т.к. для него покупаются картриджи?</w:t>
      </w:r>
    </w:p>
    <w:p w14:paraId="1F11438C" w14:textId="77777777" w:rsidR="00361BC1" w:rsidRDefault="00361BC1" w:rsidP="00361BC1">
      <w:pPr>
        <w:rPr>
          <w:sz w:val="20"/>
          <w:szCs w:val="20"/>
        </w:rPr>
      </w:pPr>
    </w:p>
    <w:p w14:paraId="74591A89" w14:textId="77777777" w:rsidR="005D1F0D" w:rsidRDefault="005D1F0D">
      <w:pPr>
        <w:rPr>
          <w:sz w:val="20"/>
          <w:szCs w:val="20"/>
        </w:rPr>
      </w:pPr>
      <w:r>
        <w:rPr>
          <w:sz w:val="20"/>
          <w:szCs w:val="20"/>
        </w:rPr>
        <w:br w:type="page"/>
      </w:r>
    </w:p>
    <w:p w14:paraId="195C0151" w14:textId="77777777" w:rsidR="005D1F0D" w:rsidRPr="005D1F0D" w:rsidRDefault="005D1F0D" w:rsidP="005D1F0D">
      <w:pPr>
        <w:pBdr>
          <w:top w:val="single" w:sz="4" w:space="1" w:color="auto"/>
          <w:left w:val="single" w:sz="4" w:space="4" w:color="auto"/>
          <w:bottom w:val="single" w:sz="4" w:space="1" w:color="auto"/>
          <w:right w:val="single" w:sz="4" w:space="4" w:color="auto"/>
        </w:pBdr>
        <w:rPr>
          <w:b/>
          <w:sz w:val="20"/>
          <w:szCs w:val="20"/>
        </w:rPr>
      </w:pPr>
      <w:r w:rsidRPr="005D1F0D">
        <w:rPr>
          <w:b/>
          <w:sz w:val="20"/>
          <w:szCs w:val="20"/>
        </w:rPr>
        <w:lastRenderedPageBreak/>
        <w:t>ВОПРОС 22.</w:t>
      </w:r>
    </w:p>
    <w:p w14:paraId="79AB4A87" w14:textId="77777777" w:rsidR="005D1F0D" w:rsidRPr="005D1F0D" w:rsidRDefault="005D1F0D" w:rsidP="005D1F0D">
      <w:pPr>
        <w:pBdr>
          <w:top w:val="single" w:sz="4" w:space="1" w:color="auto"/>
          <w:left w:val="single" w:sz="4" w:space="4" w:color="auto"/>
          <w:bottom w:val="single" w:sz="4" w:space="1" w:color="auto"/>
          <w:right w:val="single" w:sz="4" w:space="4" w:color="auto"/>
        </w:pBdr>
        <w:rPr>
          <w:b/>
          <w:sz w:val="20"/>
          <w:szCs w:val="20"/>
        </w:rPr>
      </w:pPr>
      <w:r w:rsidRPr="005D1F0D">
        <w:rPr>
          <w:b/>
          <w:sz w:val="20"/>
          <w:szCs w:val="20"/>
        </w:rPr>
        <w:t>Светлана Владимировна Б.</w:t>
      </w:r>
    </w:p>
    <w:p w14:paraId="3B570F89" w14:textId="77777777"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p>
    <w:p w14:paraId="15FBC33A" w14:textId="298C4AB4"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r w:rsidRPr="005D1F0D">
        <w:rPr>
          <w:sz w:val="20"/>
          <w:szCs w:val="20"/>
        </w:rPr>
        <w:t>1. «Висит» долг подотчётника. Срок возврата истек. Долг признан и идет погашение частями из зарплаты. Работник написал заявление, в котором указал график погашения.</w:t>
      </w:r>
    </w:p>
    <w:p w14:paraId="767D5458" w14:textId="77777777"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r w:rsidRPr="005D1F0D">
        <w:rPr>
          <w:sz w:val="20"/>
          <w:szCs w:val="20"/>
        </w:rPr>
        <w:t>Насколько верны бух.проводки при погашении?</w:t>
      </w:r>
    </w:p>
    <w:p w14:paraId="4119B0BA" w14:textId="77777777"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r w:rsidRPr="005D1F0D">
        <w:rPr>
          <w:sz w:val="20"/>
          <w:szCs w:val="20"/>
        </w:rPr>
        <w:t>Д 94 К 71 – отражена задолженность</w:t>
      </w:r>
    </w:p>
    <w:p w14:paraId="119D93AF" w14:textId="77777777"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r w:rsidRPr="005D1F0D">
        <w:rPr>
          <w:sz w:val="20"/>
          <w:szCs w:val="20"/>
        </w:rPr>
        <w:t>Д 70 К 94 – погашается задолженность</w:t>
      </w:r>
    </w:p>
    <w:p w14:paraId="65375852" w14:textId="77777777"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r w:rsidRPr="005D1F0D">
        <w:rPr>
          <w:sz w:val="20"/>
          <w:szCs w:val="20"/>
        </w:rPr>
        <w:t>2. Задолженность на конец года не полностью погашена.</w:t>
      </w:r>
    </w:p>
    <w:p w14:paraId="17442107" w14:textId="77777777"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r w:rsidRPr="005D1F0D">
        <w:rPr>
          <w:sz w:val="20"/>
          <w:szCs w:val="20"/>
        </w:rPr>
        <w:t>Сформировалось дебетовое сальдо по счету 94.</w:t>
      </w:r>
    </w:p>
    <w:p w14:paraId="2BB3B7DA" w14:textId="77777777" w:rsidR="005D1F0D" w:rsidRPr="005D1F0D" w:rsidRDefault="005D1F0D" w:rsidP="005D1F0D">
      <w:pPr>
        <w:pBdr>
          <w:top w:val="single" w:sz="4" w:space="1" w:color="auto"/>
          <w:left w:val="single" w:sz="4" w:space="4" w:color="auto"/>
          <w:bottom w:val="single" w:sz="4" w:space="1" w:color="auto"/>
          <w:right w:val="single" w:sz="4" w:space="4" w:color="auto"/>
        </w:pBdr>
        <w:rPr>
          <w:sz w:val="20"/>
          <w:szCs w:val="20"/>
        </w:rPr>
      </w:pPr>
      <w:r w:rsidRPr="005D1F0D">
        <w:rPr>
          <w:sz w:val="20"/>
          <w:szCs w:val="20"/>
        </w:rPr>
        <w:t>Какими проводками его закрыть перед составлением баланса  и нужно ли это делать?</w:t>
      </w:r>
    </w:p>
    <w:p w14:paraId="28A0E36A" w14:textId="77777777" w:rsidR="00361BC1" w:rsidRPr="00A0049C" w:rsidRDefault="00361BC1" w:rsidP="00361BC1">
      <w:pPr>
        <w:rPr>
          <w:sz w:val="20"/>
          <w:szCs w:val="20"/>
        </w:rPr>
      </w:pPr>
    </w:p>
    <w:sectPr w:rsidR="00361BC1" w:rsidRPr="00A00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F7086"/>
    <w:multiLevelType w:val="multilevel"/>
    <w:tmpl w:val="4AE2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F8A"/>
    <w:rsid w:val="00106C0E"/>
    <w:rsid w:val="0012340C"/>
    <w:rsid w:val="00170F8A"/>
    <w:rsid w:val="002B1DFB"/>
    <w:rsid w:val="00361BC1"/>
    <w:rsid w:val="004B2F50"/>
    <w:rsid w:val="005D1F0D"/>
    <w:rsid w:val="005E16E4"/>
    <w:rsid w:val="00610B19"/>
    <w:rsid w:val="0097704A"/>
    <w:rsid w:val="00A0049C"/>
    <w:rsid w:val="00B30C9C"/>
    <w:rsid w:val="00B755B3"/>
    <w:rsid w:val="00C34187"/>
    <w:rsid w:val="00DA3DD6"/>
    <w:rsid w:val="00E5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36B5"/>
  <w15:docId w15:val="{CB0B9FC1-96F7-43D3-82BD-3E830F4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049C"/>
    <w:rPr>
      <w:color w:val="0000FF" w:themeColor="hyperlink"/>
      <w:u w:val="single"/>
    </w:rPr>
  </w:style>
  <w:style w:type="character" w:styleId="a4">
    <w:name w:val="Strong"/>
    <w:basedOn w:val="a0"/>
    <w:uiPriority w:val="22"/>
    <w:qFormat/>
    <w:rsid w:val="00A0049C"/>
    <w:rPr>
      <w:b/>
      <w:bCs/>
    </w:rPr>
  </w:style>
  <w:style w:type="paragraph" w:styleId="a5">
    <w:name w:val="Normal (Web)"/>
    <w:basedOn w:val="a"/>
    <w:uiPriority w:val="99"/>
    <w:semiHidden/>
    <w:unhideWhenUsed/>
    <w:rsid w:val="00A004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0947">
      <w:bodyDiv w:val="1"/>
      <w:marLeft w:val="0"/>
      <w:marRight w:val="0"/>
      <w:marTop w:val="0"/>
      <w:marBottom w:val="0"/>
      <w:divBdr>
        <w:top w:val="none" w:sz="0" w:space="0" w:color="auto"/>
        <w:left w:val="none" w:sz="0" w:space="0" w:color="auto"/>
        <w:bottom w:val="none" w:sz="0" w:space="0" w:color="auto"/>
        <w:right w:val="none" w:sz="0" w:space="0" w:color="auto"/>
      </w:divBdr>
    </w:div>
    <w:div w:id="503278588">
      <w:bodyDiv w:val="1"/>
      <w:marLeft w:val="0"/>
      <w:marRight w:val="0"/>
      <w:marTop w:val="0"/>
      <w:marBottom w:val="0"/>
      <w:divBdr>
        <w:top w:val="none" w:sz="0" w:space="0" w:color="auto"/>
        <w:left w:val="none" w:sz="0" w:space="0" w:color="auto"/>
        <w:bottom w:val="none" w:sz="0" w:space="0" w:color="auto"/>
        <w:right w:val="none" w:sz="0" w:space="0" w:color="auto"/>
      </w:divBdr>
    </w:div>
    <w:div w:id="558322397">
      <w:bodyDiv w:val="1"/>
      <w:marLeft w:val="0"/>
      <w:marRight w:val="0"/>
      <w:marTop w:val="0"/>
      <w:marBottom w:val="0"/>
      <w:divBdr>
        <w:top w:val="none" w:sz="0" w:space="0" w:color="auto"/>
        <w:left w:val="none" w:sz="0" w:space="0" w:color="auto"/>
        <w:bottom w:val="none" w:sz="0" w:space="0" w:color="auto"/>
        <w:right w:val="none" w:sz="0" w:space="0" w:color="auto"/>
      </w:divBdr>
    </w:div>
    <w:div w:id="656151480">
      <w:bodyDiv w:val="1"/>
      <w:marLeft w:val="0"/>
      <w:marRight w:val="0"/>
      <w:marTop w:val="0"/>
      <w:marBottom w:val="0"/>
      <w:divBdr>
        <w:top w:val="none" w:sz="0" w:space="0" w:color="auto"/>
        <w:left w:val="none" w:sz="0" w:space="0" w:color="auto"/>
        <w:bottom w:val="none" w:sz="0" w:space="0" w:color="auto"/>
        <w:right w:val="none" w:sz="0" w:space="0" w:color="auto"/>
      </w:divBdr>
    </w:div>
    <w:div w:id="1139373534">
      <w:bodyDiv w:val="1"/>
      <w:marLeft w:val="0"/>
      <w:marRight w:val="0"/>
      <w:marTop w:val="0"/>
      <w:marBottom w:val="0"/>
      <w:divBdr>
        <w:top w:val="none" w:sz="0" w:space="0" w:color="auto"/>
        <w:left w:val="none" w:sz="0" w:space="0" w:color="auto"/>
        <w:bottom w:val="none" w:sz="0" w:space="0" w:color="auto"/>
        <w:right w:val="none" w:sz="0" w:space="0" w:color="auto"/>
      </w:divBdr>
      <w:divsChild>
        <w:div w:id="1784880014">
          <w:marLeft w:val="0"/>
          <w:marRight w:val="0"/>
          <w:marTop w:val="0"/>
          <w:marBottom w:val="0"/>
          <w:divBdr>
            <w:top w:val="none" w:sz="0" w:space="0" w:color="auto"/>
            <w:left w:val="none" w:sz="0" w:space="0" w:color="auto"/>
            <w:bottom w:val="none" w:sz="0" w:space="0" w:color="auto"/>
            <w:right w:val="none" w:sz="0" w:space="0" w:color="auto"/>
          </w:divBdr>
        </w:div>
        <w:div w:id="1248005816">
          <w:marLeft w:val="0"/>
          <w:marRight w:val="0"/>
          <w:marTop w:val="0"/>
          <w:marBottom w:val="0"/>
          <w:divBdr>
            <w:top w:val="none" w:sz="0" w:space="0" w:color="auto"/>
            <w:left w:val="single" w:sz="24" w:space="0" w:color="CED3F1"/>
            <w:bottom w:val="none" w:sz="0" w:space="0" w:color="auto"/>
            <w:right w:val="none" w:sz="0" w:space="0" w:color="auto"/>
          </w:divBdr>
          <w:divsChild>
            <w:div w:id="761025179">
              <w:marLeft w:val="0"/>
              <w:marRight w:val="0"/>
              <w:marTop w:val="0"/>
              <w:marBottom w:val="0"/>
              <w:divBdr>
                <w:top w:val="none" w:sz="0" w:space="0" w:color="auto"/>
                <w:left w:val="none" w:sz="0" w:space="0" w:color="auto"/>
                <w:bottom w:val="none" w:sz="0" w:space="0" w:color="auto"/>
                <w:right w:val="none" w:sz="0" w:space="0" w:color="auto"/>
              </w:divBdr>
            </w:div>
            <w:div w:id="446898981">
              <w:marLeft w:val="0"/>
              <w:marRight w:val="0"/>
              <w:marTop w:val="0"/>
              <w:marBottom w:val="0"/>
              <w:divBdr>
                <w:top w:val="none" w:sz="0" w:space="0" w:color="auto"/>
                <w:left w:val="none" w:sz="0" w:space="0" w:color="auto"/>
                <w:bottom w:val="none" w:sz="0" w:space="0" w:color="auto"/>
                <w:right w:val="none" w:sz="0" w:space="0" w:color="auto"/>
              </w:divBdr>
            </w:div>
          </w:divsChild>
        </w:div>
        <w:div w:id="1306080245">
          <w:marLeft w:val="0"/>
          <w:marRight w:val="0"/>
          <w:marTop w:val="0"/>
          <w:marBottom w:val="0"/>
          <w:divBdr>
            <w:top w:val="none" w:sz="0" w:space="0" w:color="auto"/>
            <w:left w:val="single" w:sz="24" w:space="0" w:color="CED3F1"/>
            <w:bottom w:val="none" w:sz="0" w:space="0" w:color="auto"/>
            <w:right w:val="none" w:sz="0" w:space="0" w:color="auto"/>
          </w:divBdr>
          <w:divsChild>
            <w:div w:id="830098273">
              <w:marLeft w:val="0"/>
              <w:marRight w:val="0"/>
              <w:marTop w:val="0"/>
              <w:marBottom w:val="0"/>
              <w:divBdr>
                <w:top w:val="none" w:sz="0" w:space="0" w:color="auto"/>
                <w:left w:val="none" w:sz="0" w:space="0" w:color="auto"/>
                <w:bottom w:val="none" w:sz="0" w:space="0" w:color="auto"/>
                <w:right w:val="none" w:sz="0" w:space="0" w:color="auto"/>
              </w:divBdr>
            </w:div>
            <w:div w:id="1643655857">
              <w:marLeft w:val="0"/>
              <w:marRight w:val="0"/>
              <w:marTop w:val="0"/>
              <w:marBottom w:val="0"/>
              <w:divBdr>
                <w:top w:val="none" w:sz="0" w:space="0" w:color="auto"/>
                <w:left w:val="none" w:sz="0" w:space="0" w:color="auto"/>
                <w:bottom w:val="none" w:sz="0" w:space="0" w:color="auto"/>
                <w:right w:val="none" w:sz="0" w:space="0" w:color="auto"/>
              </w:divBdr>
            </w:div>
          </w:divsChild>
        </w:div>
        <w:div w:id="1161851764">
          <w:marLeft w:val="0"/>
          <w:marRight w:val="0"/>
          <w:marTop w:val="0"/>
          <w:marBottom w:val="0"/>
          <w:divBdr>
            <w:top w:val="none" w:sz="0" w:space="0" w:color="auto"/>
            <w:left w:val="none" w:sz="0" w:space="0" w:color="auto"/>
            <w:bottom w:val="none" w:sz="0" w:space="0" w:color="auto"/>
            <w:right w:val="none" w:sz="0" w:space="0" w:color="auto"/>
          </w:divBdr>
        </w:div>
      </w:divsChild>
    </w:div>
    <w:div w:id="1525362540">
      <w:bodyDiv w:val="1"/>
      <w:marLeft w:val="0"/>
      <w:marRight w:val="0"/>
      <w:marTop w:val="0"/>
      <w:marBottom w:val="0"/>
      <w:divBdr>
        <w:top w:val="none" w:sz="0" w:space="0" w:color="auto"/>
        <w:left w:val="none" w:sz="0" w:space="0" w:color="auto"/>
        <w:bottom w:val="none" w:sz="0" w:space="0" w:color="auto"/>
        <w:right w:val="none" w:sz="0" w:space="0" w:color="auto"/>
      </w:divBdr>
    </w:div>
    <w:div w:id="1916746337">
      <w:bodyDiv w:val="1"/>
      <w:marLeft w:val="0"/>
      <w:marRight w:val="0"/>
      <w:marTop w:val="0"/>
      <w:marBottom w:val="0"/>
      <w:divBdr>
        <w:top w:val="none" w:sz="0" w:space="0" w:color="auto"/>
        <w:left w:val="none" w:sz="0" w:space="0" w:color="auto"/>
        <w:bottom w:val="none" w:sz="0" w:space="0" w:color="auto"/>
        <w:right w:val="none" w:sz="0" w:space="0" w:color="auto"/>
      </w:divBdr>
    </w:div>
    <w:div w:id="1938054365">
      <w:bodyDiv w:val="1"/>
      <w:marLeft w:val="0"/>
      <w:marRight w:val="0"/>
      <w:marTop w:val="0"/>
      <w:marBottom w:val="0"/>
      <w:divBdr>
        <w:top w:val="none" w:sz="0" w:space="0" w:color="auto"/>
        <w:left w:val="none" w:sz="0" w:space="0" w:color="auto"/>
        <w:bottom w:val="none" w:sz="0" w:space="0" w:color="auto"/>
        <w:right w:val="none" w:sz="0" w:space="0" w:color="auto"/>
      </w:divBdr>
    </w:div>
    <w:div w:id="2031293758">
      <w:bodyDiv w:val="1"/>
      <w:marLeft w:val="0"/>
      <w:marRight w:val="0"/>
      <w:marTop w:val="0"/>
      <w:marBottom w:val="0"/>
      <w:divBdr>
        <w:top w:val="none" w:sz="0" w:space="0" w:color="auto"/>
        <w:left w:val="none" w:sz="0" w:space="0" w:color="auto"/>
        <w:bottom w:val="none" w:sz="0" w:space="0" w:color="auto"/>
        <w:right w:val="none" w:sz="0" w:space="0" w:color="auto"/>
      </w:divBdr>
    </w:div>
    <w:div w:id="21154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mcenter.ru/Files/R-KpR_Stoimostniy_limit_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center.ru/Files/R-KpR_Stoimostniy_limit_OS" TargetMode="External"/><Relationship Id="rId5" Type="http://schemas.openxmlformats.org/officeDocument/2006/relationships/hyperlink" Target="http://bmcenter.ru/Files/R_NKO_Perehod_na_movuy_poryadok_uchette_OS_v_NK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4238</Words>
  <Characters>24160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savkova</dc:creator>
  <cp:keywords/>
  <dc:description/>
  <cp:lastModifiedBy>Людмила Савкова</cp:lastModifiedBy>
  <cp:revision>10</cp:revision>
  <dcterms:created xsi:type="dcterms:W3CDTF">2022-01-18T07:10:00Z</dcterms:created>
  <dcterms:modified xsi:type="dcterms:W3CDTF">2022-01-18T11:33:00Z</dcterms:modified>
</cp:coreProperties>
</file>