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15038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outlineLvl w:val="0"/>
        <w:rPr>
          <w:rFonts w:eastAsia="Times New Roman" w:cs="Tahoma"/>
          <w:b/>
          <w:bCs/>
          <w:color w:val="000000"/>
          <w:kern w:val="36"/>
          <w:lang w:eastAsia="ru-RU"/>
        </w:rPr>
      </w:pPr>
      <w:r w:rsidRPr="00A15038">
        <w:rPr>
          <w:rFonts w:eastAsia="Times New Roman" w:cs="Tahoma"/>
          <w:b/>
          <w:bCs/>
          <w:color w:val="000000"/>
          <w:kern w:val="36"/>
          <w:lang w:eastAsia="ru-RU"/>
        </w:rPr>
        <w:t>Вопрос 2.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outlineLvl w:val="0"/>
        <w:rPr>
          <w:rFonts w:eastAsia="Times New Roman" w:cs="Tahoma"/>
          <w:b/>
          <w:bCs/>
          <w:kern w:val="36"/>
          <w:lang w:eastAsia="ru-RU"/>
        </w:rPr>
      </w:pPr>
      <w:r w:rsidRPr="0084550C">
        <w:rPr>
          <w:rFonts w:eastAsia="Times New Roman" w:cs="Tahoma"/>
          <w:b/>
          <w:bCs/>
          <w:color w:val="000000"/>
          <w:kern w:val="36"/>
          <w:lang w:eastAsia="ru-RU"/>
        </w:rPr>
        <w:t>Татьяна Алексеевна И.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ru-RU"/>
        </w:rPr>
      </w:pP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A15038">
        <w:rPr>
          <w:rFonts w:eastAsia="Times New Roman" w:cs="Tahoma"/>
          <w:color w:val="000000"/>
          <w:shd w:val="clear" w:color="auto" w:fill="FFFFFF"/>
          <w:lang w:eastAsia="ru-RU"/>
        </w:rPr>
        <w:t xml:space="preserve">1. </w:t>
      </w: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В Благотворительном фонде (на УСН «Доходы») на балансе учитываются как основные средства ящики для сбора пожертвований, приобретённые (купленные)  и принятые к учёту в разные периоды,   стоимостью от 1500 до 10000 руб., все со сроком использования – 5 лет.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Износ ящиков начислялся на </w:t>
      </w:r>
      <w:proofErr w:type="spellStart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забалансовом</w:t>
      </w:r>
      <w:proofErr w:type="spellEnd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 счёте.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У части ящиков срок использования превысил 5 лет, износ не начисляется, но ящики продолжают  эксплуатироваться.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По остальным продолжается начисление износа.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Какие рекомендац</w:t>
      </w:r>
      <w:proofErr w:type="gramStart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ии ау</w:t>
      </w:r>
      <w:proofErr w:type="gramEnd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диторов будут в связи с переходом с 2022 года на ФСБУ 6/2020?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Верно ли, </w:t>
      </w:r>
      <w:proofErr w:type="gramStart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что</w:t>
      </w:r>
      <w:proofErr w:type="gramEnd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 несмотря на то, что стоимость каждого ящика несущественна для бухгалтерской отчётности,  и Учётная политика устанавливает с 2022 года стоимостной критерий для ОС – 100000 руб.,  мы должны продолжать вести учёт  ящиков на  счёте 01?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Как быть с пересмотром СПИ для </w:t>
      </w:r>
      <w:proofErr w:type="spellStart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самортизированных</w:t>
      </w:r>
      <w:proofErr w:type="spellEnd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 xml:space="preserve"> ящиков?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Если  устанавливать ликвидационную стоимость, увеличивать СПИ и  возобновить начисление  амортизации по ним, то какими проводками и на каких счетах отразить такие операции и какими первичными документами оформить?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Куда списывать износ в таком случае?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ahoma"/>
          <w:lang w:eastAsia="ru-RU"/>
        </w:rPr>
      </w:pP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Если  ликвидационная (справедливая) стоимость равна  0 (нулю), (например, эксплуатируется ящик с видимой трещиной, продать его невозможно, при ликвидации мы бы не получили никаких средств), то как учитывать такие ОС по новому ФСБУ?</w:t>
      </w:r>
    </w:p>
    <w:p w:rsidR="0084550C" w:rsidRPr="0084550C" w:rsidRDefault="0084550C" w:rsidP="00845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0" w:line="240" w:lineRule="auto"/>
        <w:ind w:firstLine="567"/>
        <w:jc w:val="both"/>
        <w:rPr>
          <w:rFonts w:eastAsia="Times New Roman" w:cs="Tahoma"/>
          <w:lang w:eastAsia="ru-RU"/>
        </w:rPr>
      </w:pPr>
      <w:r w:rsidRPr="00A15038">
        <w:rPr>
          <w:rFonts w:eastAsia="Times New Roman" w:cs="Tahoma"/>
          <w:color w:val="000000"/>
          <w:shd w:val="clear" w:color="auto" w:fill="FFFFFF"/>
          <w:lang w:eastAsia="ru-RU"/>
        </w:rPr>
        <w:t xml:space="preserve">2. </w:t>
      </w:r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Обязаны  ли некоммерческие организации, в частности</w:t>
      </w:r>
      <w:proofErr w:type="gramStart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,</w:t>
      </w:r>
      <w:proofErr w:type="gramEnd"/>
      <w:r w:rsidRPr="0084550C">
        <w:rPr>
          <w:rFonts w:eastAsia="Times New Roman" w:cs="Tahoma"/>
          <w:color w:val="000000"/>
          <w:shd w:val="clear" w:color="auto" w:fill="FFFFFF"/>
          <w:lang w:eastAsia="ru-RU"/>
        </w:rPr>
        <w:t>  благотворительные фонды, применять  ФСБУ 25/2018 «Бухг. учёт аренды»?</w:t>
      </w:r>
    </w:p>
    <w:p w:rsidR="002473C7" w:rsidRPr="00A15038" w:rsidRDefault="002473C7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A15038">
        <w:rPr>
          <w:rFonts w:asciiTheme="minorHAnsi" w:hAnsiTheme="minorHAnsi"/>
          <w:b/>
          <w:sz w:val="22"/>
          <w:szCs w:val="22"/>
        </w:rPr>
        <w:t>1. ФСБУ 6/2020 "Основные средства"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4. Для целей бухгалтерского учета объектом основных сре</w:t>
      </w:r>
      <w:proofErr w:type="gramStart"/>
      <w:r w:rsidRPr="00A15038">
        <w:rPr>
          <w:rFonts w:asciiTheme="minorHAnsi" w:hAnsiTheme="minorHAnsi"/>
          <w:sz w:val="22"/>
          <w:szCs w:val="22"/>
        </w:rPr>
        <w:t>дств сч</w:t>
      </w:r>
      <w:proofErr w:type="gramEnd"/>
      <w:r w:rsidRPr="00A15038">
        <w:rPr>
          <w:rFonts w:asciiTheme="minorHAnsi" w:hAnsiTheme="minorHAnsi"/>
          <w:sz w:val="22"/>
          <w:szCs w:val="22"/>
        </w:rPr>
        <w:t>итается актив, характеризующийся одновременно следующими признаками: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а) имеет материально-вещественную форму;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15038">
        <w:rPr>
          <w:rFonts w:asciiTheme="minorHAnsi" w:hAnsiTheme="minorHAnsi"/>
          <w:sz w:val="22"/>
          <w:szCs w:val="22"/>
        </w:rPr>
        <w:t>б) предназначен для использования организацией в ходе обычной деятельности при производстве и (или) продаже ею продукции (товаров), при выполнении работ или оказании услуг, для охраны окружающей среды, для предоставления за плату во временное пользование, для управленческих нужд, либо для использования в деятельности некоммерческой организации, направленной на достижение целей, ради которых она создана;</w:t>
      </w:r>
      <w:proofErr w:type="gramEnd"/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 xml:space="preserve">в) </w:t>
      </w:r>
      <w:proofErr w:type="gramStart"/>
      <w:r w:rsidRPr="00A15038">
        <w:rPr>
          <w:rFonts w:asciiTheme="minorHAnsi" w:hAnsiTheme="minorHAnsi"/>
          <w:sz w:val="22"/>
          <w:szCs w:val="22"/>
        </w:rPr>
        <w:t>предназначен</w:t>
      </w:r>
      <w:proofErr w:type="gramEnd"/>
      <w:r w:rsidRPr="00A15038">
        <w:rPr>
          <w:rFonts w:asciiTheme="minorHAnsi" w:hAnsiTheme="minorHAnsi"/>
          <w:sz w:val="22"/>
          <w:szCs w:val="22"/>
        </w:rPr>
        <w:t xml:space="preserve"> для использования организацией в течение периода более 12 месяцев или обычного операционного цикла, превышающего 12 месяцев;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г) способен приносить организации экономические выгоды (доход) в будущем (обеспечить достижение некоммерческой организацией целей, ради которых она создана).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 xml:space="preserve">5. Организация может принять решение не применять настоящий Стандарт в отношении активов, характеризующихся одновременно признаками, установленными </w:t>
      </w:r>
      <w:hyperlink r:id="rId5" w:anchor="Par50" w:tooltip="4. Для целей бухгалтерского учета объектом основных средств считается актив, характеризующийся одновременно следующими признаками:" w:history="1">
        <w:r w:rsidRPr="00A15038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пунктом 4</w:t>
        </w:r>
      </w:hyperlink>
      <w:r w:rsidRPr="00A15038">
        <w:rPr>
          <w:rFonts w:asciiTheme="minorHAnsi" w:hAnsiTheme="minorHAnsi"/>
          <w:sz w:val="22"/>
          <w:szCs w:val="22"/>
        </w:rPr>
        <w:t xml:space="preserve"> настоящего Стандарта, но </w:t>
      </w:r>
      <w:r w:rsidRPr="00A15038">
        <w:rPr>
          <w:rFonts w:asciiTheme="minorHAnsi" w:hAnsiTheme="minorHAnsi"/>
          <w:b/>
          <w:sz w:val="22"/>
          <w:szCs w:val="22"/>
        </w:rPr>
        <w:t>имеющих стоимость ниже лимита, установленного организацией с учетом существенности информации о таких активах</w:t>
      </w:r>
      <w:r w:rsidRPr="00A15038">
        <w:rPr>
          <w:rFonts w:asciiTheme="minorHAnsi" w:hAnsiTheme="minorHAnsi"/>
          <w:sz w:val="22"/>
          <w:szCs w:val="22"/>
        </w:rPr>
        <w:t>. При этом затраты на приобретение, создание таких активов признаются расходами периода, в котором они понесены. Указанное решение раскрывается в бухгалтерской (финансовой) отчетности с указанием лимита стоимости, установленного организацией.</w:t>
      </w:r>
    </w:p>
    <w:p w:rsidR="00F97A86" w:rsidRPr="00A15038" w:rsidRDefault="00F97A86" w:rsidP="00F97A86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lastRenderedPageBreak/>
        <w:t>Организация должна обеспечить надлежащий контроль наличия и движения таких активов.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15038">
        <w:rPr>
          <w:rFonts w:asciiTheme="minorHAnsi" w:hAnsiTheme="minorHAnsi"/>
          <w:b/>
          <w:sz w:val="22"/>
          <w:szCs w:val="22"/>
        </w:rPr>
        <w:t>РЕКОМЕНДАЦИЯ ПО ПЕРЕХОДУ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На дату начала применения ФСБУ 6/2020 "Основные средства", НКО необходимо скорректировать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1) состав объектов ОС (в частности, необходимо списать балансовую стоимость объектов, которые являются несущественными активами (п. 49 ФСБУ 6/2020);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2) балансовую стоимость ОС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Для этого по каждому объекту ОС: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•</w:t>
      </w:r>
      <w:r w:rsidRPr="00A15038">
        <w:rPr>
          <w:rFonts w:asciiTheme="minorHAnsi" w:hAnsiTheme="minorHAnsi"/>
          <w:sz w:val="22"/>
          <w:szCs w:val="22"/>
        </w:rPr>
        <w:tab/>
        <w:t>установить ликвидационную стоимость;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•</w:t>
      </w:r>
      <w:r w:rsidRPr="00A15038">
        <w:rPr>
          <w:rFonts w:asciiTheme="minorHAnsi" w:hAnsiTheme="minorHAnsi"/>
          <w:sz w:val="22"/>
          <w:szCs w:val="22"/>
        </w:rPr>
        <w:tab/>
        <w:t>проверить применяемый срок полезного использования (СПИ) и способ начисления амортизации и в случае необходимости изменить их;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•</w:t>
      </w:r>
      <w:r w:rsidRPr="00A15038">
        <w:rPr>
          <w:rFonts w:asciiTheme="minorHAnsi" w:hAnsiTheme="minorHAnsi"/>
          <w:sz w:val="22"/>
          <w:szCs w:val="22"/>
        </w:rPr>
        <w:tab/>
        <w:t xml:space="preserve">рассчитать по правилам ФСБУ 6/2020 сумму накопленной амортизации за </w:t>
      </w:r>
      <w:proofErr w:type="gramStart"/>
      <w:r w:rsidRPr="00A15038">
        <w:rPr>
          <w:rFonts w:asciiTheme="minorHAnsi" w:hAnsiTheme="minorHAnsi"/>
          <w:sz w:val="22"/>
          <w:szCs w:val="22"/>
        </w:rPr>
        <w:t>истекший</w:t>
      </w:r>
      <w:proofErr w:type="gramEnd"/>
      <w:r w:rsidRPr="00A15038">
        <w:rPr>
          <w:rFonts w:asciiTheme="minorHAnsi" w:hAnsiTheme="minorHAnsi"/>
          <w:sz w:val="22"/>
          <w:szCs w:val="22"/>
        </w:rPr>
        <w:t xml:space="preserve"> СПИ исходя из: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ab/>
        <w:t>◦</w:t>
      </w:r>
      <w:r w:rsidRPr="00A15038">
        <w:rPr>
          <w:rFonts w:asciiTheme="minorHAnsi" w:hAnsiTheme="minorHAnsi"/>
          <w:sz w:val="22"/>
          <w:szCs w:val="22"/>
        </w:rPr>
        <w:tab/>
        <w:t>первоначальной (с учетом переоценок, если они проводились) стоимости, сформированной до начала применения ФСБУ 6/2020 согласно ранее применявшейся учетной политике;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ab/>
        <w:t>◦</w:t>
      </w:r>
      <w:r w:rsidRPr="00A15038">
        <w:rPr>
          <w:rFonts w:asciiTheme="minorHAnsi" w:hAnsiTheme="minorHAnsi"/>
          <w:sz w:val="22"/>
          <w:szCs w:val="22"/>
        </w:rPr>
        <w:tab/>
        <w:t>установленной на дату перехода ликвидационной стоимости;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ab/>
        <w:t>◦</w:t>
      </w:r>
      <w:r w:rsidRPr="00A15038">
        <w:rPr>
          <w:rFonts w:asciiTheme="minorHAnsi" w:hAnsiTheme="minorHAnsi"/>
          <w:sz w:val="22"/>
          <w:szCs w:val="22"/>
        </w:rPr>
        <w:tab/>
        <w:t>способа амортизации, установленного учетной политикой, действующей с момента перехода на ФСБУ 6/2020;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ab/>
        <w:t>◦</w:t>
      </w:r>
      <w:r w:rsidRPr="00A15038">
        <w:rPr>
          <w:rFonts w:asciiTheme="minorHAnsi" w:hAnsiTheme="minorHAnsi"/>
          <w:sz w:val="22"/>
          <w:szCs w:val="22"/>
        </w:rPr>
        <w:tab/>
        <w:t>СПИ объекта ОС, скорректированного на дату перехода;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ab/>
        <w:t>◦</w:t>
      </w:r>
      <w:r w:rsidRPr="00A15038">
        <w:rPr>
          <w:rFonts w:asciiTheme="minorHAnsi" w:hAnsiTheme="minorHAnsi"/>
          <w:sz w:val="22"/>
          <w:szCs w:val="22"/>
        </w:rPr>
        <w:tab/>
        <w:t>истекшего СПИ на дату перехода;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•</w:t>
      </w:r>
      <w:r w:rsidRPr="00A15038">
        <w:rPr>
          <w:rFonts w:asciiTheme="minorHAnsi" w:hAnsiTheme="minorHAnsi"/>
          <w:sz w:val="22"/>
          <w:szCs w:val="22"/>
        </w:rPr>
        <w:tab/>
        <w:t>рассчитать новую балансовую стоимость ОС;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•</w:t>
      </w:r>
      <w:r w:rsidRPr="00A15038">
        <w:rPr>
          <w:rFonts w:asciiTheme="minorHAnsi" w:hAnsiTheme="minorHAnsi"/>
          <w:sz w:val="22"/>
          <w:szCs w:val="22"/>
        </w:rPr>
        <w:tab/>
        <w:t>сравнить эту балансовую стоимость с прежней балансовой (остаточной) стоимостью.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>НКО должна скорректировать прежнюю балансовую стоимость на полученную разницу. Так как первоначальная стоимость объектов ОС при расчете новой балансовой стоимости не меняется, корректировке подлежит Фонд недвижимого и особо ценного движимого имущества.</w:t>
      </w:r>
    </w:p>
    <w:p w:rsidR="00EF366D" w:rsidRPr="00A15038" w:rsidRDefault="00EF366D" w:rsidP="00EF366D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A15038">
        <w:rPr>
          <w:rFonts w:asciiTheme="minorHAnsi" w:hAnsiTheme="minorHAnsi"/>
          <w:sz w:val="22"/>
          <w:szCs w:val="22"/>
        </w:rPr>
        <w:t xml:space="preserve">При этом сумма накопленного износа на </w:t>
      </w:r>
      <w:proofErr w:type="spellStart"/>
      <w:r w:rsidRPr="00A15038">
        <w:rPr>
          <w:rFonts w:asciiTheme="minorHAnsi" w:hAnsiTheme="minorHAnsi"/>
          <w:sz w:val="22"/>
          <w:szCs w:val="22"/>
        </w:rPr>
        <w:t>забалансовом</w:t>
      </w:r>
      <w:proofErr w:type="spellEnd"/>
      <w:r w:rsidRPr="00A15038">
        <w:rPr>
          <w:rFonts w:asciiTheme="minorHAnsi" w:hAnsiTheme="minorHAnsi"/>
          <w:sz w:val="22"/>
          <w:szCs w:val="22"/>
        </w:rPr>
        <w:t xml:space="preserve"> счете подлежит полному списанию.</w:t>
      </w:r>
    </w:p>
    <w:p w:rsidR="00F97A86" w:rsidRPr="00A15038" w:rsidRDefault="00F97A86" w:rsidP="0084550C">
      <w:pPr>
        <w:rPr>
          <w:rFonts w:cs="Arial"/>
          <w:b/>
        </w:rPr>
      </w:pPr>
    </w:p>
    <w:p w:rsidR="002473C7" w:rsidRPr="00A15038" w:rsidRDefault="002473C7" w:rsidP="0084550C">
      <w:pPr>
        <w:rPr>
          <w:rFonts w:cs="Arial"/>
          <w:b/>
        </w:rPr>
      </w:pPr>
      <w:r w:rsidRPr="00A15038">
        <w:rPr>
          <w:rFonts w:cs="Arial"/>
          <w:b/>
        </w:rPr>
        <w:t>2. ФСБУ 25/2018 "Бухгалтерский учет аренды"</w:t>
      </w:r>
    </w:p>
    <w:p w:rsidR="002473C7" w:rsidRPr="00A15038" w:rsidRDefault="002473C7" w:rsidP="002473C7">
      <w:pPr>
        <w:rPr>
          <w:rFonts w:cs="Arial"/>
        </w:rPr>
      </w:pPr>
      <w:r w:rsidRPr="00A15038">
        <w:rPr>
          <w:rFonts w:cs="Arial"/>
        </w:rPr>
        <w:t>51. Организация может не применять настоящий Стандарт в отношении договоров аренды, исполнение которых истекает до конца года, начиная с отчетности за который применяется настоящий Стандарт.</w:t>
      </w:r>
    </w:p>
    <w:p w:rsidR="00A15038" w:rsidRPr="00A15038" w:rsidRDefault="002473C7">
      <w:pPr>
        <w:rPr>
          <w:rFonts w:cs="Arial"/>
        </w:rPr>
      </w:pPr>
      <w:r w:rsidRPr="00A15038">
        <w:rPr>
          <w:rFonts w:cs="Arial"/>
        </w:rPr>
        <w:t>52. Организация, которая вправе применять упрощенные способы учета, может принять решение о применении настоящего Стандарта только в отношении договоров аренды, исполнение которых начинается с 1 января 2022 года.</w:t>
      </w:r>
      <w:r w:rsidR="00A15038" w:rsidRPr="00A15038">
        <w:rPr>
          <w:rFonts w:cs="Arial"/>
        </w:rPr>
        <w:br w:type="page"/>
      </w:r>
    </w:p>
    <w:p w:rsidR="00A15038" w:rsidRDefault="00A15038" w:rsidP="00A15038">
      <w:pPr>
        <w:spacing w:before="240" w:after="24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lang w:eastAsia="ru-RU"/>
        </w:rPr>
        <w:lastRenderedPageBreak/>
        <w:t xml:space="preserve">ВОПРОС </w:t>
      </w:r>
      <w:r w:rsidRPr="00A15038">
        <w:rPr>
          <w:rFonts w:eastAsia="Times New Roman" w:cs="Times New Roman"/>
          <w:b/>
          <w:bCs/>
          <w:color w:val="000000"/>
          <w:kern w:val="36"/>
          <w:lang w:eastAsia="ru-RU"/>
        </w:rPr>
        <w:t>6.</w:t>
      </w:r>
    </w:p>
    <w:p w:rsidR="00A15038" w:rsidRPr="00A15038" w:rsidRDefault="00A15038" w:rsidP="00A15038">
      <w:pPr>
        <w:spacing w:before="240" w:after="24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A15038">
        <w:rPr>
          <w:rFonts w:eastAsia="Times New Roman" w:cs="Times New Roman"/>
          <w:b/>
          <w:bCs/>
          <w:color w:val="000000"/>
          <w:kern w:val="36"/>
          <w:lang w:eastAsia="ru-RU"/>
        </w:rPr>
        <w:t>Дмитрий Викторович К.</w:t>
      </w:r>
    </w:p>
    <w:p w:rsidR="00A15038" w:rsidRPr="00A15038" w:rsidRDefault="00A15038" w:rsidP="00A1503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>Вводная часть ко всем вопросам: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АНО не ведёт предпринимательской деятельности и имеет доходы от иной приносящей доход деятельности (% от размещения свободных сре</w:t>
      </w:r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дств в д</w:t>
      </w:r>
      <w:proofErr w:type="gram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епозит).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Поскольку расходы, произведенные некоммерческими организациями за счет средств целевых поступлений (согласно утвержденной смете доходов и расходов), при формировании налоговой базы по налогу на прибыль организаций не учитываются, то сумма оплаты работодателем любых видов расходов отражается бухгалтерском и налоговом учете в расходах по уставной деятельности за счет источника - необлагаемых налогом на прибыль организаций целевых поступлений (ст. 251 НК РФ).</w:t>
      </w:r>
      <w:proofErr w:type="gramEnd"/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 </w:t>
      </w:r>
      <w:r w:rsidRPr="00A15038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>Вопрос 1: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С работниками заключаются ученические договоры по повышению их квалификации, согласно которым они обязуются проработать в организации не менее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xx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лет. При увольнении раньше этого срока (без уважительной причины) они обязуются возместить затраты пропорционально фактически не отработанному времени.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В рамках заключенного с работником договора об обучении работник в 2021 году возместил работодателю затраты на свое обучение в добровольном порядке при его досрочном увольнении в части стоимости ранее оплаченных работодателем образовательных услуг, пропорционально неотработанному периоду.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proofErr w:type="gram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Правильно ли АНО понимает, что указанный доход (в виде возмещения работником части образовательных услуг пропорционально неотработанному периоду) включается в налогооблагаемую базу по налогу на прибыль (как прочее поступление по ст.250 НК РФ) и не может быть уменьшен на соответствующие расходы по оплате обучения (в момент их осуществления), если они ранее совершены и приняты к учету в одном налоговом периоде</w:t>
      </w:r>
      <w:proofErr w:type="gramEnd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(как </w:t>
      </w:r>
      <w:proofErr w:type="spell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неучитываемые</w:t>
      </w:r>
      <w:proofErr w:type="spellEnd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в целях налогообложения расходы по ст.251 НК РФ)?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>Вопрос 2: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рамках заключенного договора с внешним сервисом бронирования проездных билетов и проживания для командированных работников ведет учет операций и расчетов с контрагентом на счете 60 и 76.14 «Приобретение билетов для командировок» (реализация от фирмы-разработчика 1С).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В случае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перебронирования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билетов сервис взимает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доп</w:t>
      </w:r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.к</w:t>
      </w:r>
      <w:proofErr w:type="gram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омиссию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за операцию (при изменении даты и рейса/поезда) или штраф (при отказе от бронирования или за ошибку в ФИО или реквизитов ДУЛ). В случае наличия вины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тревэл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-сотрудника или командированного лица за операцию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перебронирования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то работниками производится возмещение расходов по факту оплаты взимаемой сервисом комиссии или штрафа, поскольку в смете АНО такие направления расходов (при наличии вины работника) не предусмотрены.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proofErr w:type="gram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Как будет правильнее отразить в бухгалтерском и налоговом учете указанные операции – на счетах по учету доходов и расходов (развернуто по </w:t>
      </w:r>
      <w:proofErr w:type="spell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сч</w:t>
      </w:r>
      <w:proofErr w:type="spellEnd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. 91 в бухучете, и с отражением только доходной части в налоговом учете - без расходов, учитываемых за счет источника по уставной деятельности) или как расчеты с подотчетными лицами (на счете 71 или 73.10 – как возмещение работником услуг сторонних сервисов-контрагентов, без</w:t>
      </w:r>
      <w:proofErr w:type="gramEnd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отражения доходов и расходов в налоговом учете)</w:t>
      </w:r>
      <w:proofErr w:type="gram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?</w:t>
      </w:r>
      <w:proofErr w:type="gramEnd"/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u w:val="single"/>
          <w:shd w:val="clear" w:color="auto" w:fill="FFFFFF"/>
          <w:lang w:eastAsia="ru-RU"/>
        </w:rPr>
        <w:t>Вопрос 3: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АНО выплачивает работнику средний заработок за время участия в военных сборах (по справке-вызову из военкомата) с последующей компенсацией своих расходов, связанных с выплатой работнику среднего заработка, за счет средств федерального бюджета, которую оплачивают военкоматы на основании представленных работодателем заверенных копий документов, подтверждающих расходы (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пп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. 5 п. 2, п. п. 3, 4, 5 Правил, утвержденных Постановлением Правительства РФ от 01.12.2004 № 704</w:t>
      </w:r>
      <w:proofErr w:type="gram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).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 </w:t>
      </w:r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Признаются ли указанные выплаты работнику расходами АНО или </w:t>
      </w:r>
      <w:proofErr w:type="spell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>дебиторкой</w:t>
      </w:r>
      <w:proofErr w:type="spellEnd"/>
      <w:proofErr w:type="gramStart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?</w:t>
      </w:r>
      <w:proofErr w:type="gramEnd"/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 и как правильно отразить их и поступившие на счет организации денежные средства из военкомата в виде компенсации расходов по выплате среднего заработка работнику, </w:t>
      </w:r>
      <w:r w:rsidRPr="00A15038">
        <w:rPr>
          <w:rFonts w:eastAsia="Times New Roman" w:cs="Times New Roman"/>
          <w:i/>
          <w:iCs/>
          <w:color w:val="000000"/>
          <w:shd w:val="clear" w:color="auto" w:fill="FFFFFF"/>
          <w:lang w:eastAsia="ru-RU"/>
        </w:rPr>
        <w:lastRenderedPageBreak/>
        <w:t>призванному на военный сбор, и начисленных с него сумм страховых взносов во внебюджетные фонды ?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Подход 1</w:t>
      </w:r>
      <w:r w:rsidRPr="00A15038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Как следует из установленного порядка, средний заработок за период прохождения военных сборов выплачивается работнику за счет средств организации и затем компенсируется организации за счет бюджетных средств на основании представляемых получателями компенсации сведений о размере фактических расходов. В связи с этим выплачиваемая компенсация относится на расходы организации аналогично иным случаям выплаты среднего заработка за не отработанное работником время. Такой расход признается расходом по обычным видам деятельности в периоде начисления работнику соответствующих сумм и начисления на них страховых взносов (п. п. 5, 7, 16, 18 Положения по бухгалтерскому учету "Расходы организации" ПБУ 10/99, утвержденного Приказом Минфина России от 06.05.1999 N 33н).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При этом сумма компенсации, подлежащая выплате из бюджета, признается прочим доходом организации на дату принятия у организации документа на возмещение понесенных расходов (п. п. 7, 10.6, 16 Положения по бухгалтерскому учету "Доходы организации" ПБУ 9/99, утвержденного Приказом Минфина России от 06.05.1999 N 32н).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а) Дебет 51 Кредит 86; (расходы: </w:t>
      </w:r>
      <w:proofErr w:type="spellStart"/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86 –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26.02,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26.02 –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73,69*) или</w:t>
      </w:r>
      <w:proofErr w:type="gramEnd"/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б) Дебет 51 Кредит 91-1 (расходы: </w:t>
      </w:r>
      <w:proofErr w:type="spellStart"/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91-2 –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26.02,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26.02 –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73,69*)</w:t>
      </w:r>
      <w:proofErr w:type="gramEnd"/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Подход 2</w:t>
      </w:r>
      <w:r w:rsidRPr="00A15038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 отражению в учете компенсации, выплачиваемой работнику в связи с участием в военных сборах, возможен и иной подход.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Как уже сказано выше, начисленный работнику средний заработок за время выполнения им своих гражданских обязанностей является установленной законодательством компенсационной выплатой, подлежащей возмещению организации. При этом возмещение производится с учетом соответствующих начислений на фонд оплаты труда. В связи с этим сумма среднего заработка работника, начисленного за время прохождения им военных сборов, а также сумма страховых взносов, начисленная на средний заработок, могут рассматриваться как не приводящие к уменьшению экономических выгод организации, то есть не признаваться расходом организации, понятие которого приведено в п. 2 ПБУ 10/99. При таком подходе указанные затраты, подлежащие возмещению, отражаются в учете организации в качестве дебиторской задолженности, что следует из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абз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. 5 п. 16 ПБУ 10/99.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а) Дебет 51 Кредит 68,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субсчет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"Компенсации из бюджета"; (расходы: </w:t>
      </w:r>
      <w:proofErr w:type="spellStart"/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68 –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73,69*)</w:t>
      </w:r>
      <w:proofErr w:type="gramEnd"/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или</w:t>
      </w:r>
    </w:p>
    <w:p w:rsidR="00A15038" w:rsidRPr="00A15038" w:rsidRDefault="00A15038" w:rsidP="00A1503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б) Дебет 51 Кредит 76; (расходы: </w:t>
      </w:r>
      <w:proofErr w:type="spellStart"/>
      <w:proofErr w:type="gram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Дт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76 –  </w:t>
      </w:r>
      <w:proofErr w:type="spellStart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>Кт</w:t>
      </w:r>
      <w:proofErr w:type="spellEnd"/>
      <w:r w:rsidRPr="00A1503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73,69*)</w:t>
      </w:r>
      <w:proofErr w:type="gramEnd"/>
    </w:p>
    <w:p w:rsidR="002473C7" w:rsidRPr="00A15038" w:rsidRDefault="002473C7" w:rsidP="002473C7">
      <w:pPr>
        <w:rPr>
          <w:rFonts w:cs="Arial"/>
        </w:rPr>
      </w:pPr>
    </w:p>
    <w:p w:rsidR="00A15038" w:rsidRDefault="00A1503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36F45" w:rsidRDefault="00E36F45" w:rsidP="00E3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lang w:eastAsia="ru-RU"/>
        </w:rPr>
        <w:lastRenderedPageBreak/>
        <w:t xml:space="preserve">ВОПРОС </w:t>
      </w:r>
      <w:r w:rsidR="001809FB"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9.</w:t>
      </w:r>
    </w:p>
    <w:p w:rsidR="001809FB" w:rsidRPr="001809FB" w:rsidRDefault="001809FB" w:rsidP="00E3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Наталья Ивановна И.</w:t>
      </w:r>
    </w:p>
    <w:p w:rsidR="001809FB" w:rsidRPr="001809FB" w:rsidRDefault="001809FB" w:rsidP="00E3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809FB" w:rsidRDefault="001809FB" w:rsidP="00E3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ind w:firstLine="567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При приобретении ОС за счет средств от приносящей доход деятельности нужно ли соблюдать следующее правило: «При оприходовании основных средств, отражается источник финансирования по Дебету счета 86 «Целевое финансирование» в корреспонденции с Кредитом 83 «Добавочный капитал»?</w:t>
      </w:r>
    </w:p>
    <w:p w:rsidR="00E36F45" w:rsidRDefault="00E36F45" w:rsidP="00E36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E36F45" w:rsidRPr="00E36F45" w:rsidRDefault="00E36F45" w:rsidP="00E36F45">
      <w:pPr>
        <w:spacing w:before="240" w:after="240" w:line="240" w:lineRule="auto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/>
          <w:shd w:val="clear" w:color="auto" w:fill="FFFFFF"/>
          <w:lang w:eastAsia="ru-RU"/>
        </w:rPr>
        <w:t>«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ОБ ОСОБЕННОСТЯХ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>ФОРМИРОВАНИЯ БУХГАЛТЕРСКОЙ (ФИНАНСОВОЙ) ОТЧЕТНОСТИ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НЕКОММЕРЧЕСКИХ ОРГАНИЗАЦИЙ</w:t>
      </w:r>
      <w:r>
        <w:rPr>
          <w:rFonts w:eastAsia="Times New Roman" w:cs="Times New Roman"/>
          <w:b/>
          <w:color w:val="000000"/>
          <w:shd w:val="clear" w:color="auto" w:fill="FFFFFF"/>
          <w:lang w:eastAsia="ru-RU"/>
        </w:rPr>
        <w:t>»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E36F45">
        <w:rPr>
          <w:rFonts w:eastAsia="Times New Roman" w:cs="Times New Roman"/>
          <w:b/>
          <w:color w:val="000000"/>
          <w:shd w:val="clear" w:color="auto" w:fill="FFFFFF"/>
          <w:lang w:eastAsia="ru-RU"/>
        </w:rPr>
        <w:t>(ПЗ-1/2015)</w:t>
      </w:r>
    </w:p>
    <w:p w:rsidR="00E36F45" w:rsidRDefault="00E36F45" w:rsidP="00E36F45">
      <w:pPr>
        <w:spacing w:before="240" w:after="24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E36F45">
        <w:rPr>
          <w:rFonts w:eastAsia="Times New Roman" w:cs="Times New Roman"/>
          <w:lang w:eastAsia="ru-RU"/>
        </w:rPr>
        <w:t xml:space="preserve">15. </w:t>
      </w:r>
      <w:proofErr w:type="gramStart"/>
      <w:r w:rsidRPr="00E36F45">
        <w:rPr>
          <w:rFonts w:eastAsia="Times New Roman" w:cs="Times New Roman"/>
          <w:lang w:eastAsia="ru-RU"/>
        </w:rPr>
        <w:t xml:space="preserve">По группе статей </w:t>
      </w:r>
      <w:r w:rsidRPr="00DE6C38">
        <w:rPr>
          <w:rFonts w:eastAsia="Times New Roman" w:cs="Times New Roman"/>
          <w:b/>
          <w:lang w:eastAsia="ru-RU"/>
        </w:rPr>
        <w:t>"Целевые средства"</w:t>
      </w:r>
      <w:r w:rsidRPr="00E36F45">
        <w:rPr>
          <w:rFonts w:eastAsia="Times New Roman" w:cs="Times New Roman"/>
          <w:lang w:eastAsia="ru-RU"/>
        </w:rPr>
        <w:t xml:space="preserve"> отражаются неиспользованные на отчетную дату целевые средства, предназначенные для обеспечения некоммерческой организацией целей, ради которых она создана, и соответствующую этим целям, отраженные в отчете о целевом использовании средств, включая чистую прибыль/убыток от приносящей доход деятельности некоммерческой организации, сформированную по итогам ее деятельности за отчетный год.</w:t>
      </w:r>
      <w:proofErr w:type="gramEnd"/>
    </w:p>
    <w:p w:rsidR="00E36F45" w:rsidRDefault="00E36F45" w:rsidP="00E36F45">
      <w:pPr>
        <w:spacing w:before="240" w:after="24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E36F45">
        <w:rPr>
          <w:rFonts w:eastAsia="Times New Roman" w:cs="Times New Roman"/>
          <w:lang w:eastAsia="ru-RU"/>
        </w:rPr>
        <w:t>Использование средств целевого финансирования, полученного некоммерческой организацией в виде инвестиционных средств на приобретение и (или) создание основных средств, включая общего пользования, раскрывается как уменьшение по группе статей "</w:t>
      </w:r>
      <w:r w:rsidRPr="00DE6C38">
        <w:rPr>
          <w:rFonts w:eastAsia="Times New Roman" w:cs="Times New Roman"/>
          <w:b/>
          <w:lang w:eastAsia="ru-RU"/>
        </w:rPr>
        <w:t>Целевые средства</w:t>
      </w:r>
      <w:r w:rsidRPr="00E36F45">
        <w:rPr>
          <w:rFonts w:eastAsia="Times New Roman" w:cs="Times New Roman"/>
          <w:lang w:eastAsia="ru-RU"/>
        </w:rPr>
        <w:t>" и соответственно как увеличение статьи "</w:t>
      </w:r>
      <w:r w:rsidRPr="00DE6C38">
        <w:rPr>
          <w:rFonts w:eastAsia="Times New Roman" w:cs="Times New Roman"/>
          <w:b/>
          <w:lang w:eastAsia="ru-RU"/>
        </w:rPr>
        <w:t>Фонд недвижимого и особо ценного движимого имущества</w:t>
      </w:r>
      <w:r w:rsidRPr="00E36F45">
        <w:rPr>
          <w:rFonts w:eastAsia="Times New Roman" w:cs="Times New Roman"/>
          <w:lang w:eastAsia="ru-RU"/>
        </w:rPr>
        <w:t>". Информация о целевом использовании некоммерческой организацией полученных средств (по форме, структуре, составу источников поступления и направлениям использования) раскрывается в отчете о целевом использовании средств. Использование средств целевого финансирования передаваемых в счет взноса при создании других некоммерческих организаций и при вступлении в ассоциации и союзы раскрывается как уменьшение по группе статей "Целевые средства".</w:t>
      </w:r>
    </w:p>
    <w:p w:rsidR="00E36F45" w:rsidRDefault="00E36F45" w:rsidP="00E36F45">
      <w:pPr>
        <w:spacing w:before="240" w:after="24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E36F45">
        <w:rPr>
          <w:rFonts w:eastAsia="Times New Roman" w:cs="Times New Roman"/>
          <w:lang w:eastAsia="ru-RU"/>
        </w:rPr>
        <w:t>16. По группе статей "Фонд недвижимого и особо ценного движимого имущества" отражаются средства целевого финансирования, полученного некоммерческой организацией в виде инвестиционных средств на приобретение и (или) создание основных средств, включая общего пользования, в том числе выделенных в неделимый фонд.</w:t>
      </w:r>
    </w:p>
    <w:p w:rsidR="00E36F45" w:rsidRDefault="00E36F45" w:rsidP="00E36F45">
      <w:pPr>
        <w:spacing w:before="240" w:after="24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E36F45">
        <w:rPr>
          <w:rFonts w:eastAsia="Times New Roman" w:cs="Times New Roman"/>
          <w:lang w:eastAsia="ru-RU"/>
        </w:rPr>
        <w:t xml:space="preserve">35. По статье "Расходы на приобретение основных средств, инвентаря и иного имущества" отражается </w:t>
      </w:r>
      <w:r w:rsidRPr="00E36F45">
        <w:rPr>
          <w:rFonts w:eastAsia="Times New Roman" w:cs="Times New Roman"/>
          <w:b/>
          <w:lang w:eastAsia="ru-RU"/>
        </w:rPr>
        <w:t xml:space="preserve">величина целевых средств, использованных на приобретение </w:t>
      </w:r>
      <w:proofErr w:type="spellStart"/>
      <w:r w:rsidRPr="00E36F45">
        <w:rPr>
          <w:rFonts w:eastAsia="Times New Roman" w:cs="Times New Roman"/>
          <w:b/>
          <w:lang w:eastAsia="ru-RU"/>
        </w:rPr>
        <w:t>внеоборотных</w:t>
      </w:r>
      <w:proofErr w:type="spellEnd"/>
      <w:r w:rsidRPr="00E36F45">
        <w:rPr>
          <w:rFonts w:eastAsia="Times New Roman" w:cs="Times New Roman"/>
          <w:b/>
          <w:lang w:eastAsia="ru-RU"/>
        </w:rPr>
        <w:t xml:space="preserve"> активов некоммерческой организации</w:t>
      </w:r>
      <w:r w:rsidRPr="00E36F45">
        <w:rPr>
          <w:rFonts w:eastAsia="Times New Roman" w:cs="Times New Roman"/>
          <w:lang w:eastAsia="ru-RU"/>
        </w:rPr>
        <w:t>, на которую увеличилась, например, статья "Фонд недвижимого и особо ценного движимого имущества" бухгалтерского баланса.</w:t>
      </w:r>
    </w:p>
    <w:p w:rsidR="00E36F45" w:rsidRPr="001809FB" w:rsidRDefault="00E36F45" w:rsidP="00E36F45">
      <w:pPr>
        <w:spacing w:before="240" w:after="24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1809FB" w:rsidRDefault="001809F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lang w:eastAsia="ru-RU"/>
        </w:rPr>
        <w:lastRenderedPageBreak/>
        <w:t>ВОПРОС 13.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Светлана Алексеевна П.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eastAsia="ru-RU"/>
        </w:rPr>
      </w:pPr>
    </w:p>
    <w:p w:rsid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НКО, УСН 6%, упрощенный бухучет. Как вести учёт основных средств с 2022 года, что делать с износом, что делать с ОС который стоит на балансе? Какие должны быть проводки?</w:t>
      </w:r>
    </w:p>
    <w:p w:rsidR="0069159D" w:rsidRDefault="0069159D" w:rsidP="0069159D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69159D" w:rsidRPr="001809FB" w:rsidRDefault="0069159D" w:rsidP="0069159D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lang w:eastAsia="ru-RU"/>
        </w:rPr>
        <w:t>ВОПРОС 14.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Инна Станиславовна Б.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Буду признательна з</w:t>
      </w:r>
      <w:r w:rsidR="00F91EE7">
        <w:rPr>
          <w:rFonts w:eastAsia="Times New Roman" w:cs="Times New Roman"/>
          <w:color w:val="000000"/>
          <w:shd w:val="clear" w:color="auto" w:fill="FFFFFF"/>
          <w:lang w:eastAsia="ru-RU"/>
        </w:rPr>
        <w:t>а ваши рекомендации по внесению</w:t>
      </w: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Учетную политику на 2022 год изменений, в связи </w:t>
      </w:r>
      <w:r w:rsidR="00F91EE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со </w:t>
      </w:r>
      <w:proofErr w:type="gramStart"/>
      <w:r w:rsidR="00F91EE7">
        <w:rPr>
          <w:rFonts w:eastAsia="Times New Roman" w:cs="Times New Roman"/>
          <w:color w:val="000000"/>
          <w:shd w:val="clear" w:color="auto" w:fill="FFFFFF"/>
          <w:lang w:eastAsia="ru-RU"/>
        </w:rPr>
        <w:t>вступающими</w:t>
      </w:r>
      <w:proofErr w:type="gramEnd"/>
      <w:r w:rsidR="00F91EE7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в действие ФСБУ.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Каким числом рекомендуете принять Приказ? </w:t>
      </w:r>
    </w:p>
    <w:p w:rsid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Особая благодарность, если предоставите образец, чтобы все моменты учесть.</w:t>
      </w:r>
    </w:p>
    <w:p w:rsid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69159D" w:rsidRPr="001809FB" w:rsidRDefault="0069159D" w:rsidP="0069159D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color w:val="000000"/>
          <w:kern w:val="36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lang w:eastAsia="ru-RU"/>
        </w:rPr>
        <w:t xml:space="preserve">ВОПРОС </w:t>
      </w:r>
      <w:r w:rsidR="001809FB"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15.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809FB">
        <w:rPr>
          <w:rFonts w:eastAsia="Times New Roman" w:cs="Times New Roman"/>
          <w:b/>
          <w:bCs/>
          <w:color w:val="000000"/>
          <w:kern w:val="36"/>
          <w:lang w:eastAsia="ru-RU"/>
        </w:rPr>
        <w:t>Маргарита Николаевна К.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Какие формулировки (пункты) необходимо указать в Приказе по учетной политике (УП) организации в 2022, в связи с применением </w:t>
      </w:r>
      <w:proofErr w:type="gramStart"/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новых</w:t>
      </w:r>
      <w:proofErr w:type="gramEnd"/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ФСБУ?</w:t>
      </w:r>
    </w:p>
    <w:p w:rsidR="001809FB" w:rsidRPr="001809FB" w:rsidRDefault="001809FB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809FB">
        <w:rPr>
          <w:rFonts w:eastAsia="Times New Roman" w:cs="Times New Roman"/>
          <w:color w:val="000000"/>
          <w:shd w:val="clear" w:color="auto" w:fill="FFFFFF"/>
          <w:lang w:eastAsia="ru-RU"/>
        </w:rPr>
        <w:t>(ФСБУ 25/2018 «Бухгалтерский учет аренды», ФСБУ 6/2020 «Основные средства», ФСБУ 26/2020 «Капитальные вложения», ФСБУ 27/2021 «Документы и документооборот в бухгалтерском учете»)</w:t>
      </w:r>
    </w:p>
    <w:p w:rsidR="0069159D" w:rsidRDefault="0069159D" w:rsidP="0069159D">
      <w:pPr>
        <w:rPr>
          <w:rFonts w:cs="Arial"/>
          <w:b/>
        </w:rPr>
      </w:pPr>
    </w:p>
    <w:p w:rsidR="00C8271E" w:rsidRDefault="00C8271E" w:rsidP="0069159D">
      <w:pPr>
        <w:rPr>
          <w:rFonts w:cs="Arial"/>
          <w:b/>
        </w:rPr>
      </w:pPr>
      <w:r>
        <w:rPr>
          <w:rFonts w:cs="Arial"/>
          <w:b/>
        </w:rPr>
        <w:t>ПБУ 01/2008</w:t>
      </w:r>
    </w:p>
    <w:p w:rsidR="00C8271E" w:rsidRPr="00CA5CF3" w:rsidRDefault="00C8271E" w:rsidP="00C8271E">
      <w:pPr>
        <w:rPr>
          <w:rFonts w:cs="Arial"/>
          <w:b/>
          <w:u w:val="single"/>
        </w:rPr>
      </w:pPr>
      <w:r w:rsidRPr="00CA5CF3">
        <w:rPr>
          <w:rFonts w:cs="Arial"/>
          <w:b/>
          <w:u w:val="single"/>
        </w:rPr>
        <w:t>III. Изменение учетной политики</w:t>
      </w:r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t>10. Изменение учетной политики организации может производиться в случаях:</w:t>
      </w:r>
    </w:p>
    <w:p w:rsidR="00C8271E" w:rsidRPr="00BD620A" w:rsidRDefault="00C8271E" w:rsidP="00F91EE7">
      <w:pPr>
        <w:jc w:val="both"/>
        <w:rPr>
          <w:rFonts w:cs="Arial"/>
          <w:b/>
        </w:rPr>
      </w:pPr>
      <w:r w:rsidRPr="00BD620A">
        <w:rPr>
          <w:rFonts w:cs="Arial"/>
          <w:b/>
        </w:rPr>
        <w:t>изменения законодательства Российской Федерации и (или) нормативных правовых актов по бухгалтерскому учету;</w:t>
      </w:r>
    </w:p>
    <w:p w:rsidR="00CA5CF3" w:rsidRDefault="00CA5CF3" w:rsidP="00F91EE7">
      <w:pPr>
        <w:jc w:val="both"/>
        <w:rPr>
          <w:rFonts w:cs="Arial"/>
        </w:rPr>
      </w:pPr>
      <w:r>
        <w:rPr>
          <w:rFonts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96D71" wp14:editId="66484AE3">
                <wp:simplePos x="0" y="0"/>
                <wp:positionH relativeFrom="column">
                  <wp:posOffset>33962</wp:posOffset>
                </wp:positionH>
                <wp:positionV relativeFrom="paragraph">
                  <wp:posOffset>339221</wp:posOffset>
                </wp:positionV>
                <wp:extent cx="1240220" cy="231228"/>
                <wp:effectExtent l="38100" t="0" r="17145" b="927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220" cy="231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.65pt;margin-top:26.7pt;width:97.65pt;height:18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 w:rsidR="00C8271E" w:rsidRPr="00BD620A">
        <w:rPr>
          <w:rFonts w:cs="Arial"/>
        </w:rPr>
        <w:t xml:space="preserve">11. Изменение учетной политики должно быть обоснованным и оформляться в порядке, предусмотренном </w:t>
      </w:r>
      <w:r w:rsidR="00C8271E" w:rsidRPr="00F91EE7">
        <w:rPr>
          <w:rFonts w:cs="Arial"/>
          <w:b/>
          <w:u w:val="single"/>
        </w:rPr>
        <w:t>пунктом 8</w:t>
      </w:r>
      <w:r w:rsidR="00C8271E" w:rsidRPr="00BD620A">
        <w:rPr>
          <w:rFonts w:cs="Arial"/>
        </w:rPr>
        <w:t xml:space="preserve"> настоящего Положения.</w:t>
      </w:r>
    </w:p>
    <w:p w:rsidR="00BD620A" w:rsidRDefault="00BD620A" w:rsidP="00F91EE7">
      <w:pPr>
        <w:jc w:val="both"/>
        <w:rPr>
          <w:rFonts w:cs="Arial"/>
        </w:rPr>
      </w:pPr>
      <w:r w:rsidRPr="00BD620A">
        <w:rPr>
          <w:rFonts w:cs="Arial"/>
          <w:b/>
        </w:rPr>
        <w:t>8.</w:t>
      </w:r>
      <w:r w:rsidRPr="00BD620A">
        <w:rPr>
          <w:rFonts w:cs="Arial"/>
        </w:rPr>
        <w:t xml:space="preserve"> </w:t>
      </w:r>
      <w:proofErr w:type="gramStart"/>
      <w:r w:rsidRPr="00BD620A">
        <w:rPr>
          <w:rFonts w:cs="Arial"/>
        </w:rPr>
        <w:t>Принятая организацией учетная политика подлежит оформлению соответствующей организационно-распорядительной документацией (приказами, распоряжениями, стандартами и т.п.) организации.</w:t>
      </w:r>
      <w:r>
        <w:rPr>
          <w:rFonts w:cs="Arial"/>
        </w:rPr>
        <w:t>)</w:t>
      </w:r>
      <w:proofErr w:type="gramEnd"/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t xml:space="preserve">12. Изменение учетной политики производится </w:t>
      </w:r>
      <w:r w:rsidRPr="00BD620A">
        <w:rPr>
          <w:rFonts w:cs="Arial"/>
          <w:b/>
        </w:rPr>
        <w:t>с начала отчетного года</w:t>
      </w:r>
      <w:r w:rsidRPr="00BD620A">
        <w:rPr>
          <w:rFonts w:cs="Arial"/>
        </w:rPr>
        <w:t>, если иное не обуславливается причиной такого изменения.</w:t>
      </w:r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lastRenderedPageBreak/>
        <w:t xml:space="preserve">14. </w:t>
      </w:r>
      <w:r w:rsidRPr="00B11635">
        <w:rPr>
          <w:rFonts w:cs="Arial"/>
          <w:b/>
        </w:rPr>
        <w:t>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</w:t>
      </w:r>
      <w:r w:rsidRPr="00BD620A">
        <w:rPr>
          <w:rFonts w:cs="Arial"/>
        </w:rPr>
        <w:t xml:space="preserve">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в порядке, установленном пунктом 15 настоящего Положения.</w:t>
      </w:r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t xml:space="preserve">15. </w:t>
      </w:r>
      <w:proofErr w:type="gramStart"/>
      <w:r w:rsidRPr="00B11635">
        <w:rPr>
          <w:rFonts w:cs="Arial"/>
          <w:b/>
        </w:rPr>
        <w:t>Последствия изменения учетной политики</w:t>
      </w:r>
      <w:r w:rsidRPr="00BD620A">
        <w:rPr>
          <w:rFonts w:cs="Arial"/>
        </w:rPr>
        <w:t xml:space="preserve">, вызванного причинами, отличными от указанных в пункте 14 настоящего Положения, и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отражаются в бухгалтерской отчетности </w:t>
      </w:r>
      <w:r w:rsidRPr="00BD620A">
        <w:rPr>
          <w:rFonts w:cs="Arial"/>
          <w:b/>
        </w:rPr>
        <w:t>ретроспективно</w:t>
      </w:r>
      <w:r w:rsidRPr="00BD620A">
        <w:rPr>
          <w:rFonts w:cs="Arial"/>
        </w:rPr>
        <w:t>, за исключением случаев, когда оценка в денежном выражении таких последствий в отношении периодов, предшествовавших отчетному, не может быть произведена с достаточной</w:t>
      </w:r>
      <w:proofErr w:type="gramEnd"/>
      <w:r w:rsidRPr="00BD620A">
        <w:rPr>
          <w:rFonts w:cs="Arial"/>
        </w:rPr>
        <w:t xml:space="preserve"> надежностью.</w:t>
      </w:r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t xml:space="preserve">15.1. </w:t>
      </w:r>
      <w:proofErr w:type="gramStart"/>
      <w:r w:rsidRPr="00BD620A">
        <w:rPr>
          <w:rFonts w:cs="Arial"/>
        </w:rPr>
        <w:t xml:space="preserve">Организации, </w:t>
      </w:r>
      <w:r w:rsidRPr="00BD620A">
        <w:rPr>
          <w:rFonts w:cs="Arial"/>
          <w:b/>
        </w:rPr>
        <w:t>которые вправе применять упрощенные способы ведения бухгалтерского учета</w:t>
      </w:r>
      <w:r w:rsidRPr="00BD620A">
        <w:rPr>
          <w:rFonts w:cs="Arial"/>
        </w:rPr>
        <w:t xml:space="preserve">, включая упрощенную бухгалтерскую (финансовую) отчетность, могут отражать в бухгалтерской отчетности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</w:t>
      </w:r>
      <w:r w:rsidRPr="00BD620A">
        <w:rPr>
          <w:rFonts w:cs="Arial"/>
          <w:b/>
        </w:rPr>
        <w:t>перспективно</w:t>
      </w:r>
      <w:r w:rsidRPr="00BD620A">
        <w:rPr>
          <w:rFonts w:cs="Arial"/>
        </w:rPr>
        <w:t>, за исключением случаев, когда иной порядок установлен законодательством Российской Федерации и (или) нормативным правовым актом по бухгалтерскому</w:t>
      </w:r>
      <w:proofErr w:type="gramEnd"/>
      <w:r w:rsidRPr="00BD620A">
        <w:rPr>
          <w:rFonts w:cs="Arial"/>
        </w:rPr>
        <w:t xml:space="preserve"> учету.</w:t>
      </w:r>
    </w:p>
    <w:p w:rsidR="00C8271E" w:rsidRPr="00BD620A" w:rsidRDefault="00C8271E" w:rsidP="00F91EE7">
      <w:pPr>
        <w:jc w:val="both"/>
        <w:rPr>
          <w:rFonts w:cs="Arial"/>
        </w:rPr>
      </w:pPr>
      <w:r w:rsidRPr="00BD620A">
        <w:rPr>
          <w:rFonts w:cs="Arial"/>
        </w:rPr>
        <w:t xml:space="preserve">16.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</w:t>
      </w:r>
      <w:r w:rsidRPr="00BD620A">
        <w:rPr>
          <w:rFonts w:cs="Arial"/>
          <w:b/>
        </w:rPr>
        <w:t>подлежат обособленному раскрытию в бухгалтерской отчетности</w:t>
      </w:r>
      <w:r w:rsidRPr="00BD620A">
        <w:rPr>
          <w:rFonts w:cs="Arial"/>
        </w:rPr>
        <w:t>.</w:t>
      </w:r>
    </w:p>
    <w:p w:rsidR="00C8271E" w:rsidRDefault="00C8271E" w:rsidP="0069159D">
      <w:pPr>
        <w:rPr>
          <w:rFonts w:cs="Arial"/>
          <w:b/>
        </w:rPr>
      </w:pPr>
    </w:p>
    <w:p w:rsidR="0069159D" w:rsidRDefault="0069159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Arial"/>
          <w:b/>
        </w:rPr>
      </w:pPr>
      <w:r>
        <w:rPr>
          <w:rFonts w:cs="Arial"/>
          <w:b/>
        </w:rPr>
        <w:lastRenderedPageBreak/>
        <w:t xml:space="preserve">ВОПРОС </w:t>
      </w:r>
      <w:r w:rsidRPr="0069159D">
        <w:rPr>
          <w:rFonts w:cs="Arial"/>
          <w:b/>
        </w:rPr>
        <w:t>1</w:t>
      </w:r>
      <w:r>
        <w:rPr>
          <w:rFonts w:cs="Arial"/>
          <w:b/>
        </w:rPr>
        <w:t>9.</w:t>
      </w:r>
    </w:p>
    <w:p w:rsidR="0069159D" w:rsidRP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cs="Arial"/>
          <w:b/>
        </w:rPr>
      </w:pPr>
      <w:r w:rsidRPr="0069159D">
        <w:rPr>
          <w:rFonts w:cs="Arial"/>
          <w:b/>
        </w:rPr>
        <w:t>Нина Георгиевна П.</w:t>
      </w:r>
    </w:p>
    <w:p w:rsidR="0069159D" w:rsidRP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F97A86" w:rsidRPr="0069159D" w:rsidRDefault="0069159D" w:rsidP="0069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9159D">
        <w:rPr>
          <w:rFonts w:cs="Arial"/>
        </w:rPr>
        <w:t xml:space="preserve">Какими документами оформить материальную помощь волонтёру религиозной организации, который оказался в трудной ситуации и попросил о материальной поддержке? Достаточно ли распоряжения или приказа </w:t>
      </w:r>
      <w:bookmarkStart w:id="0" w:name="_GoBack"/>
      <w:bookmarkEnd w:id="0"/>
      <w:r w:rsidRPr="0069159D">
        <w:rPr>
          <w:rFonts w:cs="Arial"/>
        </w:rPr>
        <w:t>директора об оказании материальной помощи волонтеру?</w:t>
      </w:r>
    </w:p>
    <w:p w:rsidR="0069159D" w:rsidRDefault="0069159D" w:rsidP="0084550C">
      <w:pPr>
        <w:rPr>
          <w:rFonts w:cs="Arial"/>
          <w:b/>
        </w:rPr>
      </w:pPr>
    </w:p>
    <w:p w:rsidR="00144DC7" w:rsidRDefault="00144DC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144DC7">
        <w:rPr>
          <w:rFonts w:cs="Arial"/>
          <w:b/>
        </w:rPr>
        <w:lastRenderedPageBreak/>
        <w:t xml:space="preserve">ВОПРОС </w:t>
      </w:r>
      <w:r w:rsidRPr="00144DC7">
        <w:rPr>
          <w:rFonts w:cs="Arial"/>
          <w:b/>
        </w:rPr>
        <w:t xml:space="preserve">22. 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144DC7">
        <w:rPr>
          <w:rFonts w:cs="Arial"/>
          <w:b/>
        </w:rPr>
        <w:t>Светлана Владимировна Ч.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1. </w:t>
      </w:r>
      <w:r w:rsidRPr="00144DC7">
        <w:rPr>
          <w:rFonts w:cs="Arial"/>
        </w:rPr>
        <w:t>Целью благотворительной программы Фонда является: Поддержка деятельности социально-направленных некоммерческих организаций.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 xml:space="preserve">Участниками программы Фонда в качестве </w:t>
      </w:r>
      <w:proofErr w:type="spellStart"/>
      <w:r w:rsidRPr="00144DC7">
        <w:rPr>
          <w:rFonts w:cs="Arial"/>
        </w:rPr>
        <w:t>благополучателей</w:t>
      </w:r>
      <w:proofErr w:type="spellEnd"/>
      <w:r w:rsidRPr="00144DC7">
        <w:rPr>
          <w:rFonts w:cs="Arial"/>
        </w:rPr>
        <w:t xml:space="preserve"> являются организации, которые осуществляют согласно Уставу один или несколько следующих видов деятельности в области: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- образования, просвещения, науки, культуры, искусства;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- физической культуры и спорта и содействие указанной деятельности.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 xml:space="preserve">Может ли Благотворительный фонд направлять благотворительное пожертвование на формирование целевого капитала другой НКО (деятельность НКО соответствует критерию </w:t>
      </w:r>
      <w:proofErr w:type="spellStart"/>
      <w:r w:rsidRPr="00144DC7">
        <w:rPr>
          <w:rFonts w:cs="Arial"/>
        </w:rPr>
        <w:t>благополучателя</w:t>
      </w:r>
      <w:proofErr w:type="spellEnd"/>
      <w:r w:rsidRPr="00144DC7">
        <w:rPr>
          <w:rFonts w:cs="Arial"/>
        </w:rPr>
        <w:t>)? Целевой капитал формируется на неограниченный срок в целях содействия подготовке и участию команд в чемпионатах по определенному направлению. Получателем дохода от целевого капитала является НКО, которой Благотворительный фонд перечислил пожертвование.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Какие документы к договору пожертвования на целевой капитал другой организации необходимо оформлять, чтобы у Фонда не было рисков доначисления налогов (с нецелевого использования средств)?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2. </w:t>
      </w:r>
      <w:proofErr w:type="gramStart"/>
      <w:r w:rsidRPr="00144DC7">
        <w:rPr>
          <w:rFonts w:cs="Arial"/>
        </w:rPr>
        <w:t>В соответствии с благотворительной программой в целях содействия деятельности в сфере образования, в т. ч. содействия учителям в подготовке обучающихся к участию в олимпиадах, повышения престижа профессии учителя, мотивации педагогической деятельности учителя Фонд выдает Благотворительную помощь по Заявлению учителя в связи с необходимостью подготовки учеников к участию в олимпиадах по математике.</w:t>
      </w:r>
      <w:proofErr w:type="gramEnd"/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Договором благотворительного пожертвования и Отчетом об использовании пожертвования не предусмотрено предоставление документов, подтверждающих целевое использование средств.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В Отчете будет пункт: благотворительное пожертвование использовано на подготовку учеников к участию в олимпиадах по математике.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Вопрос: есть ли риск доначисления налогов без предоставления учителем документов, подтверждающих целевое использование средств на подготовку учеников к олимпиадам?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3. </w:t>
      </w:r>
      <w:r w:rsidRPr="00144DC7">
        <w:rPr>
          <w:rFonts w:cs="Arial"/>
        </w:rPr>
        <w:t>Фонд выдает благотворительную помощь родителям на оплату поездок школьников и их сопровождающих на олимпиады и соревнования по математике.</w:t>
      </w:r>
    </w:p>
    <w:p w:rsidR="0069159D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44DC7">
        <w:rPr>
          <w:rFonts w:cs="Arial"/>
        </w:rPr>
        <w:t>Вопрос: необходимо ли родителям подтверждать документами, что они нуждаются в помощи на поездки на олимпиады своих детей (справки о доходах семьи и т.д.)?</w:t>
      </w:r>
    </w:p>
    <w:p w:rsidR="00144DC7" w:rsidRDefault="00144DC7">
      <w:pPr>
        <w:rPr>
          <w:rFonts w:cs="Arial"/>
        </w:rPr>
      </w:pPr>
      <w:r>
        <w:rPr>
          <w:rFonts w:cs="Arial"/>
        </w:rPr>
        <w:br w:type="page"/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ind w:firstLine="567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144DC7">
        <w:rPr>
          <w:rFonts w:eastAsia="Times New Roman" w:cs="Times New Roman"/>
          <w:b/>
          <w:bCs/>
          <w:color w:val="000000"/>
          <w:kern w:val="36"/>
          <w:lang w:eastAsia="ru-RU"/>
        </w:rPr>
        <w:lastRenderedPageBreak/>
        <w:t xml:space="preserve">ВОПРОС </w:t>
      </w:r>
      <w:r w:rsidRPr="00144DC7">
        <w:rPr>
          <w:rFonts w:eastAsia="Times New Roman" w:cs="Times New Roman"/>
          <w:b/>
          <w:bCs/>
          <w:color w:val="000000"/>
          <w:kern w:val="36"/>
          <w:lang w:eastAsia="ru-RU"/>
        </w:rPr>
        <w:t>25. Людмила Б.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44DC7">
        <w:rPr>
          <w:rFonts w:eastAsia="Times New Roman" w:cs="Times New Roman"/>
          <w:color w:val="000000"/>
          <w:lang w:eastAsia="ru-RU"/>
        </w:rPr>
        <w:t>Срочный вопрос. 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44DC7">
        <w:rPr>
          <w:rFonts w:eastAsia="Times New Roman" w:cs="Times New Roman"/>
          <w:color w:val="000000"/>
          <w:lang w:eastAsia="ru-RU"/>
        </w:rPr>
        <w:t>У нас 2 гранта (CAF и Фонд президентских грантов), оба счёта в Сбербанке. 3 недели назад мы заплатили не с того счёта налоги, взносы на ОМС.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44DC7">
        <w:rPr>
          <w:rFonts w:eastAsia="Times New Roman" w:cs="Times New Roman"/>
          <w:color w:val="000000"/>
          <w:lang w:eastAsia="ru-RU"/>
        </w:rPr>
        <w:t xml:space="preserve">Теперь не </w:t>
      </w:r>
      <w:proofErr w:type="gramStart"/>
      <w:r w:rsidRPr="00144DC7">
        <w:rPr>
          <w:rFonts w:eastAsia="Times New Roman" w:cs="Times New Roman"/>
          <w:color w:val="000000"/>
          <w:lang w:eastAsia="ru-RU"/>
        </w:rPr>
        <w:t>знаем</w:t>
      </w:r>
      <w:proofErr w:type="gramEnd"/>
      <w:r w:rsidRPr="00144DC7">
        <w:rPr>
          <w:rFonts w:eastAsia="Times New Roman" w:cs="Times New Roman"/>
          <w:color w:val="000000"/>
          <w:lang w:eastAsia="ru-RU"/>
        </w:rPr>
        <w:t xml:space="preserve"> как быть, потому что перекидывать деньги со счёта на счёт нельзя, они целевые.</w:t>
      </w:r>
    </w:p>
    <w:p w:rsidR="00144DC7" w:rsidRPr="00144DC7" w:rsidRDefault="00144DC7" w:rsidP="00144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144DC7">
        <w:rPr>
          <w:rFonts w:eastAsia="Times New Roman" w:cs="Times New Roman"/>
          <w:color w:val="000000"/>
          <w:lang w:eastAsia="ru-RU"/>
        </w:rPr>
        <w:t>Помогите советом</w:t>
      </w:r>
      <w:r>
        <w:rPr>
          <w:rFonts w:eastAsia="Times New Roman" w:cs="Times New Roman"/>
          <w:color w:val="000000"/>
          <w:lang w:eastAsia="ru-RU"/>
        </w:rPr>
        <w:t>,</w:t>
      </w:r>
      <w:r w:rsidRPr="00144DC7">
        <w:rPr>
          <w:rFonts w:eastAsia="Times New Roman" w:cs="Times New Roman"/>
          <w:color w:val="000000"/>
          <w:lang w:eastAsia="ru-RU"/>
        </w:rPr>
        <w:t xml:space="preserve"> пожалуйста, не знаем</w:t>
      </w:r>
      <w:r>
        <w:rPr>
          <w:rFonts w:eastAsia="Times New Roman" w:cs="Times New Roman"/>
          <w:color w:val="000000"/>
          <w:lang w:eastAsia="ru-RU"/>
        </w:rPr>
        <w:t>,</w:t>
      </w:r>
      <w:r w:rsidRPr="00144DC7">
        <w:rPr>
          <w:rFonts w:eastAsia="Times New Roman" w:cs="Times New Roman"/>
          <w:color w:val="000000"/>
          <w:lang w:eastAsia="ru-RU"/>
        </w:rPr>
        <w:t xml:space="preserve"> как быть, конец года.</w:t>
      </w:r>
    </w:p>
    <w:sectPr w:rsidR="00144DC7" w:rsidRPr="001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D"/>
    <w:rsid w:val="00144DC7"/>
    <w:rsid w:val="001809FB"/>
    <w:rsid w:val="002473C7"/>
    <w:rsid w:val="004065A3"/>
    <w:rsid w:val="005C5525"/>
    <w:rsid w:val="00610B19"/>
    <w:rsid w:val="0069159D"/>
    <w:rsid w:val="00696CFE"/>
    <w:rsid w:val="0084550C"/>
    <w:rsid w:val="00A15038"/>
    <w:rsid w:val="00AC4E1A"/>
    <w:rsid w:val="00B11635"/>
    <w:rsid w:val="00B30C9C"/>
    <w:rsid w:val="00BD620A"/>
    <w:rsid w:val="00C8271E"/>
    <w:rsid w:val="00CA5CF3"/>
    <w:rsid w:val="00D214CD"/>
    <w:rsid w:val="00DE6C38"/>
    <w:rsid w:val="00E36F45"/>
    <w:rsid w:val="00EF366D"/>
    <w:rsid w:val="00F91EE7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A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avkova\YandexDisk\&#1052;&#1077;&#1090;&#1086;&#1076;%20&#1084;&#1072;&#1090;&#1077;&#1088;&#1080;&#1072;&#1083;&#1099;\&#1053;&#1050;&#1054;\&#1055;&#1088;&#1080;&#1082;&#1072;&#1079;%20&#1052;&#1080;&#1085;&#1092;&#1080;&#1085;&#1072;%20&#1056;&#1086;&#1089;&#1089;&#1080;&#1080;%20&#1086;&#1090;%2017.09.2020%20N%20204&#1085;%20%20&#1054;&#1073;%20&#1091;&#1090;&#1074;&#1077;&#1088;&#1078;&#1076;&#1077;&#1085;&#1080;&#1080;%20&#1060;&#1057;&#1041;&#1059;%200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savkova</dc:creator>
  <cp:lastModifiedBy>savkova</cp:lastModifiedBy>
  <cp:revision>30</cp:revision>
  <cp:lastPrinted>2021-12-21T07:50:00Z</cp:lastPrinted>
  <dcterms:created xsi:type="dcterms:W3CDTF">2021-12-21T07:22:00Z</dcterms:created>
  <dcterms:modified xsi:type="dcterms:W3CDTF">2021-12-21T10:37:00Z</dcterms:modified>
</cp:coreProperties>
</file>