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F0E6" w14:textId="751E4E43" w:rsidR="00E33CC2" w:rsidRDefault="00B101BA" w:rsidP="00B101BA">
      <w:pPr>
        <w:pBdr>
          <w:top w:val="single" w:sz="4" w:space="1" w:color="auto"/>
          <w:left w:val="single" w:sz="4" w:space="4" w:color="auto"/>
          <w:bottom w:val="single" w:sz="4" w:space="1" w:color="auto"/>
          <w:right w:val="single" w:sz="4" w:space="4" w:color="auto"/>
        </w:pBdr>
        <w:rPr>
          <w:b/>
          <w:bCs/>
        </w:rPr>
      </w:pPr>
      <w:r w:rsidRPr="00B101BA">
        <w:rPr>
          <w:b/>
          <w:bCs/>
        </w:rPr>
        <w:t>ВОПРОС 2</w:t>
      </w:r>
    </w:p>
    <w:p w14:paraId="26AD53CE" w14:textId="3222C8E8" w:rsidR="00AE329D" w:rsidRPr="00B101BA" w:rsidRDefault="00AE329D" w:rsidP="00B101BA">
      <w:pPr>
        <w:pBdr>
          <w:top w:val="single" w:sz="4" w:space="1" w:color="auto"/>
          <w:left w:val="single" w:sz="4" w:space="4" w:color="auto"/>
          <w:bottom w:val="single" w:sz="4" w:space="1" w:color="auto"/>
          <w:right w:val="single" w:sz="4" w:space="4" w:color="auto"/>
        </w:pBdr>
        <w:rPr>
          <w:b/>
          <w:bCs/>
        </w:rPr>
      </w:pPr>
      <w:r>
        <w:rPr>
          <w:b/>
          <w:bCs/>
          <w:color w:val="000000"/>
          <w:sz w:val="36"/>
          <w:szCs w:val="36"/>
        </w:rPr>
        <w:t>Андрей А.</w:t>
      </w:r>
    </w:p>
    <w:p w14:paraId="30DB354E" w14:textId="19C6CEAC"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Частное учреждение, УСН (доходы минус расходы). Учреждение выиграло запрос котировок у юридического лица на предоставление сертификатов на оказание определенных услуг, будет заключен договор в рамках 223-ФЗ.  Сертификаты будут выпущены Учреждением в количестве 100 шт.  определённого номинала по сумме 3000 руб. каждый и переданы юридическому лицу, которое из раздаст своим сотрудникам, которые смогут в течение года (декабрь 2021 г. — ноябрь 2022 г.) приходить в Учреждение за оказанием услуг. Номинал сертификата дает возможность сотрудникам юридического лица приходить в течение года несколько раз, пока не будет израсходована вся сумма сертификата.  Юридическое лицо перечислит предоплату за данные сертификаты сразу полной суммой 300 000 руб.</w:t>
      </w:r>
    </w:p>
    <w:p w14:paraId="6498C6E7"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Просим помочь разобраться с рядом возникших вопросов:</w:t>
      </w:r>
    </w:p>
    <w:p w14:paraId="54137664"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 Каким образом оприходовать данную сумму по бухгалтерскому и налоговому учёту, т.е. в какой момент данная сумма будет признаваться доходом Учреждения на УСН (доходы минус расходы)?</w:t>
      </w:r>
    </w:p>
    <w:p w14:paraId="09B1B871"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 Каким образом Вы порекомендуете организовать учет сертификатов в Учреждении, которые будут приносить сотрудники данного юридического лица, с точки зрения бухгалтерского и налогового учета?</w:t>
      </w:r>
    </w:p>
    <w:p w14:paraId="01FD7FED"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 Как Вы порекомендуете организовать внутренний учёт выданных и израсходованных сертификатов?    (например, ведение списков, картотеки или...)</w:t>
      </w:r>
    </w:p>
    <w:p w14:paraId="75215567"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 Как организовать работу с ККТ в Учреждении в части сертификатов: нужно ли пробивать в кассе чек о расходе определённой суммы с сертификатов или не нужно?</w:t>
      </w:r>
    </w:p>
    <w:p w14:paraId="1AD63401"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 Что или какой документ будет подтверждением того, что услуга по данному сертификату оказана с точки зрения закона?   (акт об оказании услуг или какой-то другой документ, где будут расписываться сотрудники юридического лица)</w:t>
      </w:r>
    </w:p>
    <w:p w14:paraId="2695BDD7" w14:textId="77777777" w:rsidR="00B101BA" w:rsidRPr="00B101BA" w:rsidRDefault="00B101BA" w:rsidP="00B101B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B101BA">
        <w:rPr>
          <w:rFonts w:asciiTheme="minorHAnsi" w:hAnsiTheme="minorHAnsi" w:cstheme="minorHAnsi"/>
          <w:color w:val="000000"/>
          <w:sz w:val="22"/>
          <w:szCs w:val="22"/>
          <w:shd w:val="clear" w:color="auto" w:fill="FFFFFF"/>
        </w:rPr>
        <w:t>2. В рамках приближающихся новогодних праздников Учреждения по собственной инициативе планирует выпустить сертификаты на оказание различных видов услуг, т.е. физическое лицо сможет предварительно внести какую-то сумму на данный сертификат на срок действия 1 год. Просим помочь разобраться с тем, как правильно организовать правовой, бухгалтерский и налоговый учёт? Как будет в бухгалтерском балансе отражаться неизрасходованная сумма сертификатов в бухгалтерском балансе на конец года? Как пробивать на кассе приобретение данного сертификата и его расходование, что нужно указывать в чеке? Нужно ли делать какую-то отметку в чеке при взносе наличных денежных средств в банк, полученных от приобретенных сертификатов? Нужно ли забирать данный сертификат, в случае частичного расходования средств с него или в случае полного расходования? Как Вы порекомендуете организовать внутренний учет выданных и израсходованных сертификатов?</w:t>
      </w:r>
    </w:p>
    <w:p w14:paraId="6B2A9584" w14:textId="7AF359BC" w:rsidR="00B101BA" w:rsidRPr="00B101BA" w:rsidRDefault="00B101BA"/>
    <w:p w14:paraId="141D9249" w14:textId="2842A025" w:rsidR="00B101BA" w:rsidRPr="00B101BA" w:rsidRDefault="00B101BA" w:rsidP="00B101BA">
      <w:pPr>
        <w:shd w:val="clear" w:color="auto" w:fill="FFFFFF"/>
        <w:spacing w:after="180" w:line="240" w:lineRule="auto"/>
        <w:rPr>
          <w:rFonts w:eastAsia="Times New Roman" w:cstheme="minorHAnsi"/>
          <w:lang w:eastAsia="ru-RU"/>
        </w:rPr>
      </w:pPr>
      <w:r w:rsidRPr="00B101BA">
        <w:rPr>
          <w:rFonts w:eastAsia="Times New Roman" w:cstheme="minorHAnsi"/>
          <w:lang w:eastAsia="ru-RU"/>
        </w:rPr>
        <w:t>Особенности бухгалтерского и налогового учета подарочных сертификатов в рознице при применении продавцом упрощенной системы налогообложения представлены в таблице</w:t>
      </w:r>
      <w:r>
        <w:rPr>
          <w:rFonts w:eastAsia="Times New Roman" w:cstheme="minorHAnsi"/>
          <w:lang w:eastAsia="ru-RU"/>
        </w:rPr>
        <w:t>.</w:t>
      </w:r>
    </w:p>
    <w:p w14:paraId="4D81C945" w14:textId="77418191" w:rsidR="00A6791F" w:rsidRDefault="00A6791F">
      <w:pPr>
        <w:rPr>
          <w:rFonts w:eastAsia="Times New Roman" w:cstheme="minorHAnsi"/>
          <w:lang w:eastAsia="ru-RU"/>
        </w:rPr>
      </w:pPr>
      <w:r>
        <w:rPr>
          <w:rFonts w:eastAsia="Times New Roman" w:cstheme="minorHAnsi"/>
          <w:lang w:eastAsia="ru-RU"/>
        </w:rPr>
        <w:br w:type="page"/>
      </w:r>
    </w:p>
    <w:p w14:paraId="27149662" w14:textId="77777777" w:rsidR="00B101BA" w:rsidRPr="00B101BA" w:rsidRDefault="00B101BA" w:rsidP="00B101BA">
      <w:pPr>
        <w:shd w:val="clear" w:color="auto" w:fill="FFFFFF"/>
        <w:spacing w:after="180" w:line="240" w:lineRule="auto"/>
        <w:rPr>
          <w:rFonts w:eastAsia="Times New Roman" w:cstheme="minorHAnsi"/>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799"/>
        <w:gridCol w:w="2312"/>
        <w:gridCol w:w="3553"/>
        <w:gridCol w:w="2675"/>
      </w:tblGrid>
      <w:tr w:rsidR="00B101BA" w:rsidRPr="00B101BA" w14:paraId="40CCB675" w14:textId="77777777" w:rsidTr="00B101BA">
        <w:tc>
          <w:tcPr>
            <w:tcW w:w="799" w:type="dxa"/>
            <w:tcBorders>
              <w:top w:val="outset" w:sz="6" w:space="0" w:color="auto"/>
              <w:left w:val="outset" w:sz="6" w:space="0" w:color="auto"/>
              <w:bottom w:val="outset" w:sz="6" w:space="0" w:color="auto"/>
              <w:right w:val="outset" w:sz="6" w:space="0" w:color="auto"/>
            </w:tcBorders>
            <w:shd w:val="clear" w:color="auto" w:fill="FFFFFF"/>
            <w:hideMark/>
          </w:tcPr>
          <w:p w14:paraId="0713493E"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b/>
                <w:bCs/>
                <w:lang w:eastAsia="ru-RU"/>
              </w:rPr>
              <w:t>№ п/п</w:t>
            </w:r>
          </w:p>
        </w:tc>
        <w:tc>
          <w:tcPr>
            <w:tcW w:w="2312" w:type="dxa"/>
            <w:tcBorders>
              <w:top w:val="outset" w:sz="6" w:space="0" w:color="auto"/>
              <w:left w:val="outset" w:sz="6" w:space="0" w:color="auto"/>
              <w:bottom w:val="outset" w:sz="6" w:space="0" w:color="auto"/>
              <w:right w:val="outset" w:sz="6" w:space="0" w:color="auto"/>
            </w:tcBorders>
            <w:shd w:val="clear" w:color="auto" w:fill="FFFFFF"/>
            <w:hideMark/>
          </w:tcPr>
          <w:p w14:paraId="09ED7597"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b/>
                <w:bCs/>
                <w:lang w:eastAsia="ru-RU"/>
              </w:rPr>
              <w:t>Операция</w:t>
            </w:r>
          </w:p>
        </w:tc>
        <w:tc>
          <w:tcPr>
            <w:tcW w:w="3553" w:type="dxa"/>
            <w:tcBorders>
              <w:top w:val="outset" w:sz="6" w:space="0" w:color="auto"/>
              <w:left w:val="outset" w:sz="6" w:space="0" w:color="auto"/>
              <w:bottom w:val="outset" w:sz="6" w:space="0" w:color="auto"/>
              <w:right w:val="outset" w:sz="6" w:space="0" w:color="auto"/>
            </w:tcBorders>
            <w:shd w:val="clear" w:color="auto" w:fill="FFFFFF"/>
            <w:hideMark/>
          </w:tcPr>
          <w:p w14:paraId="75C4DFD1"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b/>
                <w:bCs/>
                <w:lang w:eastAsia="ru-RU"/>
              </w:rPr>
              <w:t>Бухгалтерский учет</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14:paraId="1CCB5D73"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b/>
                <w:bCs/>
                <w:lang w:eastAsia="ru-RU"/>
              </w:rPr>
              <w:t>Налоговый учет</w:t>
            </w:r>
          </w:p>
        </w:tc>
      </w:tr>
      <w:tr w:rsidR="00B101BA" w:rsidRPr="00B101BA" w14:paraId="176AB902" w14:textId="77777777" w:rsidTr="00B101BA">
        <w:tc>
          <w:tcPr>
            <w:tcW w:w="799" w:type="dxa"/>
            <w:tcBorders>
              <w:top w:val="outset" w:sz="6" w:space="0" w:color="auto"/>
              <w:left w:val="outset" w:sz="6" w:space="0" w:color="auto"/>
              <w:bottom w:val="outset" w:sz="6" w:space="0" w:color="auto"/>
              <w:right w:val="outset" w:sz="6" w:space="0" w:color="auto"/>
            </w:tcBorders>
            <w:shd w:val="clear" w:color="auto" w:fill="FFFFFF"/>
            <w:hideMark/>
          </w:tcPr>
          <w:p w14:paraId="08806A65"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1</w:t>
            </w:r>
          </w:p>
        </w:tc>
        <w:tc>
          <w:tcPr>
            <w:tcW w:w="2312" w:type="dxa"/>
            <w:tcBorders>
              <w:top w:val="outset" w:sz="6" w:space="0" w:color="auto"/>
              <w:left w:val="outset" w:sz="6" w:space="0" w:color="auto"/>
              <w:bottom w:val="outset" w:sz="6" w:space="0" w:color="auto"/>
              <w:right w:val="outset" w:sz="6" w:space="0" w:color="auto"/>
            </w:tcBorders>
            <w:shd w:val="clear" w:color="auto" w:fill="FFFFFF"/>
            <w:hideMark/>
          </w:tcPr>
          <w:p w14:paraId="417E4789" w14:textId="39CA30A4"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Выпуск </w:t>
            </w:r>
            <w:r w:rsidRPr="00B101BA">
              <w:rPr>
                <w:rFonts w:eastAsia="Times New Roman" w:cstheme="minorHAnsi"/>
                <w:lang w:eastAsia="ru-RU"/>
              </w:rPr>
              <w:t>сертификата</w:t>
            </w:r>
          </w:p>
        </w:tc>
        <w:tc>
          <w:tcPr>
            <w:tcW w:w="3553" w:type="dxa"/>
            <w:tcBorders>
              <w:top w:val="outset" w:sz="6" w:space="0" w:color="auto"/>
              <w:left w:val="outset" w:sz="6" w:space="0" w:color="auto"/>
              <w:bottom w:val="outset" w:sz="6" w:space="0" w:color="auto"/>
              <w:right w:val="outset" w:sz="6" w:space="0" w:color="auto"/>
            </w:tcBorders>
            <w:shd w:val="clear" w:color="auto" w:fill="FFFFFF"/>
            <w:hideMark/>
          </w:tcPr>
          <w:p w14:paraId="248B1801" w14:textId="5DB23268"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Стоимость изготовления </w:t>
            </w:r>
            <w:r w:rsidRPr="00B101BA">
              <w:rPr>
                <w:rFonts w:eastAsia="Times New Roman" w:cstheme="minorHAnsi"/>
                <w:lang w:eastAsia="ru-RU"/>
              </w:rPr>
              <w:t>сертификатов</w:t>
            </w:r>
            <w:r w:rsidRPr="00B101BA">
              <w:rPr>
                <w:rFonts w:eastAsia="Times New Roman" w:cstheme="minorHAnsi"/>
                <w:lang w:eastAsia="ru-RU"/>
              </w:rPr>
              <w:t xml:space="preserve"> в бухучете можете учесть </w:t>
            </w:r>
            <w:r w:rsidRPr="00B101BA">
              <w:rPr>
                <w:rFonts w:eastAsia="Times New Roman" w:cstheme="minorHAnsi"/>
                <w:b/>
                <w:bCs/>
                <w:lang w:eastAsia="ru-RU"/>
              </w:rPr>
              <w:t>на счете 10 «Материалы</w:t>
            </w:r>
            <w:r w:rsidRPr="00B101BA">
              <w:rPr>
                <w:rFonts w:eastAsia="Times New Roman" w:cstheme="minorHAnsi"/>
                <w:lang w:eastAsia="ru-RU"/>
              </w:rPr>
              <w:t xml:space="preserve">». При этом следует отражать все реквизиты </w:t>
            </w:r>
            <w:r w:rsidRPr="00B101BA">
              <w:rPr>
                <w:rFonts w:eastAsia="Times New Roman" w:cstheme="minorHAnsi"/>
                <w:lang w:eastAsia="ru-RU"/>
              </w:rPr>
              <w:t>сертификата</w:t>
            </w:r>
            <w:r w:rsidRPr="00B101BA">
              <w:rPr>
                <w:rFonts w:eastAsia="Times New Roman" w:cstheme="minorHAnsi"/>
                <w:lang w:eastAsia="ru-RU"/>
              </w:rPr>
              <w:t xml:space="preserve"> - номер, серию и т. п. для контроля и проведения инвентаризации. Расходы со счета 10 можно списывать по мере </w:t>
            </w:r>
            <w:r w:rsidRPr="00B101BA">
              <w:rPr>
                <w:rFonts w:eastAsia="Times New Roman" w:cstheme="minorHAnsi"/>
                <w:lang w:eastAsia="ru-RU"/>
              </w:rPr>
              <w:t>передачи</w:t>
            </w:r>
            <w:r w:rsidRPr="00B101BA">
              <w:rPr>
                <w:rFonts w:eastAsia="Times New Roman" w:cstheme="minorHAnsi"/>
                <w:lang w:eastAsia="ru-RU"/>
              </w:rPr>
              <w:t>.</w:t>
            </w:r>
          </w:p>
          <w:p w14:paraId="0724B1EA" w14:textId="0343038A"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Если расходы на выпуск </w:t>
            </w:r>
            <w:r w:rsidRPr="00B101BA">
              <w:rPr>
                <w:rFonts w:eastAsia="Times New Roman" w:cstheme="minorHAnsi"/>
                <w:lang w:eastAsia="ru-RU"/>
              </w:rPr>
              <w:t>сертификата</w:t>
            </w:r>
            <w:r w:rsidRPr="00B101BA">
              <w:rPr>
                <w:rFonts w:eastAsia="Times New Roman" w:cstheme="minorHAnsi"/>
                <w:lang w:eastAsia="ru-RU"/>
              </w:rPr>
              <w:t xml:space="preserve"> </w:t>
            </w:r>
            <w:r w:rsidRPr="00B101BA">
              <w:rPr>
                <w:rFonts w:eastAsia="Times New Roman" w:cstheme="minorHAnsi"/>
                <w:b/>
                <w:bCs/>
                <w:lang w:eastAsia="ru-RU"/>
              </w:rPr>
              <w:t>несущественны</w:t>
            </w:r>
            <w:r w:rsidRPr="00B101BA">
              <w:rPr>
                <w:rFonts w:eastAsia="Times New Roman" w:cstheme="minorHAnsi"/>
                <w:lang w:eastAsia="ru-RU"/>
              </w:rPr>
              <w:t xml:space="preserve">, можно отнести сразу расходы на издержки как расходы на продажу. В этом случае дальнейшее движение </w:t>
            </w:r>
            <w:r w:rsidRPr="00B101BA">
              <w:rPr>
                <w:rFonts w:eastAsia="Times New Roman" w:cstheme="minorHAnsi"/>
                <w:lang w:eastAsia="ru-RU"/>
              </w:rPr>
              <w:t>сертификата</w:t>
            </w:r>
            <w:r w:rsidRPr="00B101BA">
              <w:rPr>
                <w:rFonts w:eastAsia="Times New Roman" w:cstheme="minorHAnsi"/>
                <w:lang w:eastAsia="ru-RU"/>
              </w:rPr>
              <w:t xml:space="preserve"> можно отражать на забалансовом </w:t>
            </w:r>
            <w:r w:rsidRPr="00B101BA">
              <w:rPr>
                <w:rFonts w:eastAsia="Times New Roman" w:cstheme="minorHAnsi"/>
                <w:b/>
                <w:bCs/>
                <w:lang w:eastAsia="ru-RU"/>
              </w:rPr>
              <w:t>счете 006 «Бланки строгой отчетности»</w:t>
            </w:r>
            <w:r w:rsidRPr="00B101BA">
              <w:rPr>
                <w:rFonts w:eastAsia="Times New Roman" w:cstheme="minorHAnsi"/>
                <w:lang w:eastAsia="ru-RU"/>
              </w:rPr>
              <w:t xml:space="preserve"> в условной оценке</w:t>
            </w:r>
            <w:r w:rsidR="00A602EF">
              <w:rPr>
                <w:rFonts w:eastAsia="Times New Roman" w:cstheme="minorHAnsi"/>
                <w:lang w:eastAsia="ru-RU"/>
              </w:rPr>
              <w:t>.</w:t>
            </w:r>
          </w:p>
          <w:p w14:paraId="5158D2E3" w14:textId="1BB1479B" w:rsidR="00B101BA" w:rsidRPr="00B101BA" w:rsidRDefault="00B101BA" w:rsidP="0015585A">
            <w:pPr>
              <w:spacing w:after="180" w:line="240" w:lineRule="auto"/>
              <w:rPr>
                <w:rFonts w:eastAsia="Times New Roman" w:cstheme="minorHAnsi"/>
                <w:lang w:eastAsia="ru-RU"/>
              </w:rPr>
            </w:pPr>
            <w:r w:rsidRPr="00B101BA">
              <w:rPr>
                <w:rFonts w:eastAsia="Times New Roman" w:cstheme="minorHAnsi"/>
                <w:lang w:eastAsia="ru-RU"/>
              </w:rPr>
              <w:t xml:space="preserve">Выбранный способ учета </w:t>
            </w:r>
            <w:r w:rsidRPr="00B101BA">
              <w:rPr>
                <w:rFonts w:eastAsia="Times New Roman" w:cstheme="minorHAnsi"/>
                <w:lang w:eastAsia="ru-RU"/>
              </w:rPr>
              <w:t>сертификата</w:t>
            </w:r>
            <w:r w:rsidRPr="00B101BA">
              <w:rPr>
                <w:rFonts w:eastAsia="Times New Roman" w:cstheme="minorHAnsi"/>
                <w:lang w:eastAsia="ru-RU"/>
              </w:rPr>
              <w:t xml:space="preserve"> рекомендуем отразить в бухгалтерской учетной политике. </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14:paraId="0F24F229" w14:textId="3CEB6521" w:rsidR="00B101BA" w:rsidRPr="00B101BA" w:rsidRDefault="00B101BA" w:rsidP="00A602EF">
            <w:pPr>
              <w:spacing w:after="180" w:line="240" w:lineRule="auto"/>
              <w:rPr>
                <w:rFonts w:eastAsia="Times New Roman" w:cstheme="minorHAnsi"/>
                <w:lang w:eastAsia="ru-RU"/>
              </w:rPr>
            </w:pPr>
            <w:r w:rsidRPr="00B101BA">
              <w:rPr>
                <w:rFonts w:eastAsia="Times New Roman" w:cstheme="minorHAnsi"/>
                <w:lang w:eastAsia="ru-RU"/>
              </w:rPr>
              <w:t>При объекте налогообложения «доходы минус расходы», услуги сторонней организации по изготовлению сертификатов можно учесть как работы (услуги) производственного характера и отнести их стоимость на материальные расходы после оплаты (</w:t>
            </w:r>
            <w:hyperlink r:id="rId4" w:anchor="content:10800200:1:346165" w:tgtFrame="_blank" w:tooltip="Доступно для подписчиков ИТС" w:history="1">
              <w:r w:rsidRPr="00B101BA">
                <w:rPr>
                  <w:rFonts w:eastAsia="Times New Roman" w:cstheme="minorHAnsi"/>
                  <w:u w:val="single"/>
                  <w:lang w:eastAsia="ru-RU"/>
                </w:rPr>
                <w:t>подп. 5 п. 1 ст. 346.16</w:t>
              </w:r>
            </w:hyperlink>
            <w:r w:rsidRPr="00B101BA">
              <w:rPr>
                <w:rFonts w:eastAsia="Times New Roman" w:cstheme="minorHAnsi"/>
                <w:lang w:eastAsia="ru-RU"/>
              </w:rPr>
              <w:t> и </w:t>
            </w:r>
            <w:hyperlink r:id="rId5" w:anchor="content:10800200:1:1004721" w:tgtFrame="_blank" w:tooltip="Доступно для подписчиков ИТС" w:history="1">
              <w:r w:rsidRPr="00B101BA">
                <w:rPr>
                  <w:rFonts w:eastAsia="Times New Roman" w:cstheme="minorHAnsi"/>
                  <w:u w:val="single"/>
                  <w:lang w:eastAsia="ru-RU"/>
                </w:rPr>
                <w:t>подп. 1 п. 2 ст. 346.17 НК РФ</w:t>
              </w:r>
            </w:hyperlink>
            <w:r w:rsidRPr="00B101BA">
              <w:rPr>
                <w:rFonts w:eastAsia="Times New Roman" w:cstheme="minorHAnsi"/>
                <w:lang w:eastAsia="ru-RU"/>
              </w:rPr>
              <w:t>) </w:t>
            </w:r>
          </w:p>
        </w:tc>
      </w:tr>
      <w:tr w:rsidR="00B101BA" w:rsidRPr="00B101BA" w14:paraId="6AD9F571" w14:textId="77777777" w:rsidTr="00B101BA">
        <w:tc>
          <w:tcPr>
            <w:tcW w:w="799" w:type="dxa"/>
            <w:tcBorders>
              <w:top w:val="outset" w:sz="6" w:space="0" w:color="auto"/>
              <w:left w:val="outset" w:sz="6" w:space="0" w:color="auto"/>
              <w:bottom w:val="outset" w:sz="6" w:space="0" w:color="auto"/>
              <w:right w:val="outset" w:sz="6" w:space="0" w:color="auto"/>
            </w:tcBorders>
            <w:shd w:val="clear" w:color="auto" w:fill="FFFFFF"/>
            <w:hideMark/>
          </w:tcPr>
          <w:p w14:paraId="74483859"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2</w:t>
            </w:r>
          </w:p>
        </w:tc>
        <w:tc>
          <w:tcPr>
            <w:tcW w:w="2312" w:type="dxa"/>
            <w:tcBorders>
              <w:top w:val="outset" w:sz="6" w:space="0" w:color="auto"/>
              <w:left w:val="outset" w:sz="6" w:space="0" w:color="auto"/>
              <w:bottom w:val="outset" w:sz="6" w:space="0" w:color="auto"/>
              <w:right w:val="outset" w:sz="6" w:space="0" w:color="auto"/>
            </w:tcBorders>
            <w:shd w:val="clear" w:color="auto" w:fill="FFFFFF"/>
            <w:hideMark/>
          </w:tcPr>
          <w:p w14:paraId="11A69822" w14:textId="1EDA6BDC"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Продажа </w:t>
            </w:r>
            <w:r w:rsidR="0015585A">
              <w:rPr>
                <w:rFonts w:eastAsia="Times New Roman" w:cstheme="minorHAnsi"/>
                <w:lang w:eastAsia="ru-RU"/>
              </w:rPr>
              <w:t>сертификата</w:t>
            </w:r>
            <w:r w:rsidRPr="00B101BA">
              <w:rPr>
                <w:rFonts w:eastAsia="Times New Roman" w:cstheme="minorHAnsi"/>
                <w:lang w:eastAsia="ru-RU"/>
              </w:rPr>
              <w:t xml:space="preserve"> покупателю</w:t>
            </w:r>
          </w:p>
        </w:tc>
        <w:tc>
          <w:tcPr>
            <w:tcW w:w="3553" w:type="dxa"/>
            <w:tcBorders>
              <w:top w:val="outset" w:sz="6" w:space="0" w:color="auto"/>
              <w:left w:val="outset" w:sz="6" w:space="0" w:color="auto"/>
              <w:bottom w:val="outset" w:sz="6" w:space="0" w:color="auto"/>
              <w:right w:val="outset" w:sz="6" w:space="0" w:color="auto"/>
            </w:tcBorders>
            <w:shd w:val="clear" w:color="auto" w:fill="FFFFFF"/>
            <w:hideMark/>
          </w:tcPr>
          <w:p w14:paraId="3F27161C" w14:textId="3A3283D0"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Сумму, полученную при продаже </w:t>
            </w:r>
            <w:r w:rsidR="0015585A">
              <w:rPr>
                <w:rFonts w:eastAsia="Times New Roman" w:cstheme="minorHAnsi"/>
                <w:lang w:eastAsia="ru-RU"/>
              </w:rPr>
              <w:t>сертификата</w:t>
            </w:r>
            <w:r w:rsidRPr="00B101BA">
              <w:rPr>
                <w:rFonts w:eastAsia="Times New Roman" w:cstheme="minorHAnsi"/>
                <w:lang w:eastAsia="ru-RU"/>
              </w:rPr>
              <w:t xml:space="preserve">, следует </w:t>
            </w:r>
            <w:proofErr w:type="gramStart"/>
            <w:r w:rsidRPr="00B101BA">
              <w:rPr>
                <w:rFonts w:eastAsia="Times New Roman" w:cstheme="minorHAnsi"/>
                <w:lang w:eastAsia="ru-RU"/>
              </w:rPr>
              <w:t>учесть</w:t>
            </w:r>
            <w:proofErr w:type="gramEnd"/>
            <w:r w:rsidRPr="00B101BA">
              <w:rPr>
                <w:rFonts w:eastAsia="Times New Roman" w:cstheme="minorHAnsi"/>
                <w:lang w:eastAsia="ru-RU"/>
              </w:rPr>
              <w:t xml:space="preserve"> как </w:t>
            </w:r>
            <w:r w:rsidRPr="00B101BA">
              <w:rPr>
                <w:rFonts w:eastAsia="Times New Roman" w:cstheme="minorHAnsi"/>
                <w:b/>
                <w:bCs/>
                <w:lang w:eastAsia="ru-RU"/>
              </w:rPr>
              <w:t>предоплату</w:t>
            </w:r>
            <w:r w:rsidRPr="00B101BA">
              <w:rPr>
                <w:rFonts w:eastAsia="Times New Roman" w:cstheme="minorHAnsi"/>
                <w:lang w:eastAsia="ru-RU"/>
              </w:rPr>
              <w:t xml:space="preserve"> на счете 62 «Расчеты с покупателями и заказчиками».</w:t>
            </w:r>
          </w:p>
          <w:p w14:paraId="5392FFA6" w14:textId="713B1E53" w:rsidR="00B101BA" w:rsidRPr="00B101BA" w:rsidRDefault="00B101BA" w:rsidP="0015585A">
            <w:pPr>
              <w:spacing w:after="180" w:line="240" w:lineRule="auto"/>
              <w:rPr>
                <w:rFonts w:eastAsia="Times New Roman" w:cstheme="minorHAnsi"/>
                <w:lang w:eastAsia="ru-RU"/>
              </w:rPr>
            </w:pPr>
            <w:r w:rsidRPr="00B101BA">
              <w:rPr>
                <w:rFonts w:eastAsia="Times New Roman" w:cstheme="minorHAnsi"/>
                <w:lang w:eastAsia="ru-RU"/>
              </w:rPr>
              <w:t xml:space="preserve">В зависимости от выбранного способа учета </w:t>
            </w:r>
            <w:r w:rsidR="0015585A">
              <w:rPr>
                <w:rFonts w:eastAsia="Times New Roman" w:cstheme="minorHAnsi"/>
                <w:lang w:eastAsia="ru-RU"/>
              </w:rPr>
              <w:t>сертификата</w:t>
            </w:r>
            <w:r w:rsidRPr="00B101BA">
              <w:rPr>
                <w:rFonts w:eastAsia="Times New Roman" w:cstheme="minorHAnsi"/>
                <w:lang w:eastAsia="ru-RU"/>
              </w:rPr>
              <w:t>, при учете на счете 006, следует списать выданн</w:t>
            </w:r>
            <w:r w:rsidR="0015585A">
              <w:rPr>
                <w:rFonts w:eastAsia="Times New Roman" w:cstheme="minorHAnsi"/>
                <w:lang w:eastAsia="ru-RU"/>
              </w:rPr>
              <w:t>ый сертификат</w:t>
            </w:r>
            <w:r w:rsidRPr="00B101BA">
              <w:rPr>
                <w:rFonts w:eastAsia="Times New Roman" w:cstheme="minorHAnsi"/>
                <w:lang w:eastAsia="ru-RU"/>
              </w:rPr>
              <w:t>. Если она учитывается на счете 10 «Материалы», нужно списать ее стоимость на расходы. </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14:paraId="49666037" w14:textId="4696FE5C"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В день продажи </w:t>
            </w:r>
            <w:r w:rsidR="0015585A">
              <w:rPr>
                <w:rFonts w:eastAsia="Times New Roman" w:cstheme="minorHAnsi"/>
                <w:lang w:eastAsia="ru-RU"/>
              </w:rPr>
              <w:t>сертификата</w:t>
            </w:r>
            <w:r w:rsidRPr="00B101BA">
              <w:rPr>
                <w:rFonts w:eastAsia="Times New Roman" w:cstheme="minorHAnsi"/>
                <w:lang w:eastAsia="ru-RU"/>
              </w:rPr>
              <w:t xml:space="preserve"> следует </w:t>
            </w:r>
            <w:r w:rsidRPr="00B101BA">
              <w:rPr>
                <w:rFonts w:eastAsia="Times New Roman" w:cstheme="minorHAnsi"/>
                <w:b/>
                <w:bCs/>
                <w:lang w:eastAsia="ru-RU"/>
              </w:rPr>
              <w:t>признать доход</w:t>
            </w:r>
            <w:r w:rsidRPr="00B101BA">
              <w:rPr>
                <w:rFonts w:eastAsia="Times New Roman" w:cstheme="minorHAnsi"/>
                <w:lang w:eastAsia="ru-RU"/>
              </w:rPr>
              <w:t xml:space="preserve"> в размере суммы, полученной за </w:t>
            </w:r>
            <w:r w:rsidR="0015585A">
              <w:rPr>
                <w:rFonts w:eastAsia="Times New Roman" w:cstheme="minorHAnsi"/>
                <w:lang w:eastAsia="ru-RU"/>
              </w:rPr>
              <w:t>сертификат</w:t>
            </w:r>
            <w:r w:rsidRPr="00B101BA">
              <w:rPr>
                <w:rFonts w:eastAsia="Times New Roman" w:cstheme="minorHAnsi"/>
                <w:lang w:eastAsia="ru-RU"/>
              </w:rPr>
              <w:t xml:space="preserve"> (</w:t>
            </w:r>
            <w:hyperlink r:id="rId6" w:anchor="content:10800200:1:100471" w:tgtFrame="_blank" w:tooltip="Доступно для подписчиков ИТС" w:history="1">
              <w:r w:rsidRPr="00B101BA">
                <w:rPr>
                  <w:rFonts w:eastAsia="Times New Roman" w:cstheme="minorHAnsi"/>
                  <w:u w:val="single"/>
                  <w:lang w:eastAsia="ru-RU"/>
                </w:rPr>
                <w:t>п. 1 ст. 346.17 НК РФ</w:t>
              </w:r>
            </w:hyperlink>
            <w:r w:rsidRPr="00B101BA">
              <w:rPr>
                <w:rFonts w:eastAsia="Times New Roman" w:cstheme="minorHAnsi"/>
                <w:lang w:eastAsia="ru-RU"/>
              </w:rPr>
              <w:t>)</w:t>
            </w:r>
          </w:p>
          <w:p w14:paraId="778600CF"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w:t>
            </w:r>
          </w:p>
        </w:tc>
      </w:tr>
      <w:tr w:rsidR="00B101BA" w:rsidRPr="00B101BA" w14:paraId="48B0A801" w14:textId="77777777" w:rsidTr="00B101BA">
        <w:tc>
          <w:tcPr>
            <w:tcW w:w="799" w:type="dxa"/>
            <w:tcBorders>
              <w:top w:val="outset" w:sz="6" w:space="0" w:color="auto"/>
              <w:left w:val="outset" w:sz="6" w:space="0" w:color="auto"/>
              <w:bottom w:val="outset" w:sz="6" w:space="0" w:color="auto"/>
              <w:right w:val="outset" w:sz="6" w:space="0" w:color="auto"/>
            </w:tcBorders>
            <w:shd w:val="clear" w:color="auto" w:fill="FFFFFF"/>
            <w:hideMark/>
          </w:tcPr>
          <w:p w14:paraId="46A9CDC9"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3</w:t>
            </w:r>
          </w:p>
        </w:tc>
        <w:tc>
          <w:tcPr>
            <w:tcW w:w="2312" w:type="dxa"/>
            <w:tcBorders>
              <w:top w:val="outset" w:sz="6" w:space="0" w:color="auto"/>
              <w:left w:val="outset" w:sz="6" w:space="0" w:color="auto"/>
              <w:bottom w:val="outset" w:sz="6" w:space="0" w:color="auto"/>
              <w:right w:val="outset" w:sz="6" w:space="0" w:color="auto"/>
            </w:tcBorders>
            <w:shd w:val="clear" w:color="auto" w:fill="FFFFFF"/>
            <w:hideMark/>
          </w:tcPr>
          <w:p w14:paraId="7B487AD9" w14:textId="7A52691A" w:rsidR="00B101BA" w:rsidRPr="00B101BA" w:rsidRDefault="0015585A" w:rsidP="00B101BA">
            <w:pPr>
              <w:spacing w:after="180" w:line="240" w:lineRule="auto"/>
              <w:rPr>
                <w:rFonts w:eastAsia="Times New Roman" w:cstheme="minorHAnsi"/>
                <w:lang w:eastAsia="ru-RU"/>
              </w:rPr>
            </w:pPr>
            <w:r>
              <w:rPr>
                <w:rFonts w:eastAsia="Times New Roman" w:cstheme="minorHAnsi"/>
                <w:lang w:eastAsia="ru-RU"/>
              </w:rPr>
              <w:t>Получение услуги по сертификату</w:t>
            </w:r>
          </w:p>
        </w:tc>
        <w:tc>
          <w:tcPr>
            <w:tcW w:w="3553" w:type="dxa"/>
            <w:tcBorders>
              <w:top w:val="outset" w:sz="6" w:space="0" w:color="auto"/>
              <w:left w:val="outset" w:sz="6" w:space="0" w:color="auto"/>
              <w:bottom w:val="outset" w:sz="6" w:space="0" w:color="auto"/>
              <w:right w:val="outset" w:sz="6" w:space="0" w:color="auto"/>
            </w:tcBorders>
            <w:shd w:val="clear" w:color="auto" w:fill="FFFFFF"/>
            <w:hideMark/>
          </w:tcPr>
          <w:p w14:paraId="269DC714" w14:textId="68B5BEBE"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xml:space="preserve">После </w:t>
            </w:r>
            <w:r w:rsidR="0015585A">
              <w:rPr>
                <w:rFonts w:eastAsia="Times New Roman" w:cstheme="minorHAnsi"/>
                <w:lang w:eastAsia="ru-RU"/>
              </w:rPr>
              <w:t>оказания услуги</w:t>
            </w:r>
            <w:r w:rsidRPr="00B101BA">
              <w:rPr>
                <w:rFonts w:eastAsia="Times New Roman" w:cstheme="minorHAnsi"/>
                <w:lang w:eastAsia="ru-RU"/>
              </w:rPr>
              <w:t xml:space="preserve"> следует признать выручку и списать на расходы </w:t>
            </w:r>
            <w:r w:rsidR="0015585A">
              <w:rPr>
                <w:rFonts w:eastAsia="Times New Roman" w:cstheme="minorHAnsi"/>
                <w:lang w:eastAsia="ru-RU"/>
              </w:rPr>
              <w:t xml:space="preserve">ее </w:t>
            </w:r>
            <w:r w:rsidRPr="00B101BA">
              <w:rPr>
                <w:rFonts w:eastAsia="Times New Roman" w:cstheme="minorHAnsi"/>
                <w:lang w:eastAsia="ru-RU"/>
              </w:rPr>
              <w:t xml:space="preserve">себестоимость </w:t>
            </w:r>
          </w:p>
          <w:p w14:paraId="0DEB01A4" w14:textId="77777777"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14:paraId="691AEADA" w14:textId="2D936BF9" w:rsidR="00B101BA" w:rsidRPr="00B101BA" w:rsidRDefault="00B101BA" w:rsidP="00B101BA">
            <w:pPr>
              <w:spacing w:after="180" w:line="240" w:lineRule="auto"/>
              <w:rPr>
                <w:rFonts w:eastAsia="Times New Roman" w:cstheme="minorHAnsi"/>
                <w:lang w:eastAsia="ru-RU"/>
              </w:rPr>
            </w:pPr>
            <w:r w:rsidRPr="00B101BA">
              <w:rPr>
                <w:rFonts w:eastAsia="Times New Roman" w:cstheme="minorHAnsi"/>
                <w:lang w:eastAsia="ru-RU"/>
              </w:rPr>
              <w:t> </w:t>
            </w:r>
            <w:r w:rsidR="00A602EF">
              <w:rPr>
                <w:rFonts w:eastAsia="Times New Roman" w:cstheme="minorHAnsi"/>
                <w:lang w:eastAsia="ru-RU"/>
              </w:rPr>
              <w:t>-</w:t>
            </w:r>
          </w:p>
        </w:tc>
      </w:tr>
    </w:tbl>
    <w:p w14:paraId="64C68129" w14:textId="19AA4A85" w:rsidR="00AE329D" w:rsidRDefault="00AE329D" w:rsidP="00B101BA"/>
    <w:p w14:paraId="34F98CA2" w14:textId="77777777" w:rsidR="00AE329D" w:rsidRDefault="00AE329D">
      <w:r>
        <w:br w:type="page"/>
      </w:r>
    </w:p>
    <w:p w14:paraId="642FD279" w14:textId="2A3011B1" w:rsidR="00B101BA" w:rsidRDefault="00AE329D" w:rsidP="00AE329D">
      <w:pPr>
        <w:pBdr>
          <w:top w:val="single" w:sz="4" w:space="1" w:color="auto"/>
          <w:left w:val="single" w:sz="4" w:space="4" w:color="auto"/>
          <w:bottom w:val="single" w:sz="4" w:space="1" w:color="auto"/>
          <w:right w:val="single" w:sz="4" w:space="4" w:color="auto"/>
        </w:pBdr>
        <w:rPr>
          <w:b/>
          <w:bCs/>
        </w:rPr>
      </w:pPr>
      <w:r w:rsidRPr="00AE329D">
        <w:rPr>
          <w:b/>
          <w:bCs/>
        </w:rPr>
        <w:lastRenderedPageBreak/>
        <w:t>ВОПРОС 8</w:t>
      </w:r>
    </w:p>
    <w:p w14:paraId="11236DF9" w14:textId="3CF4D082" w:rsidR="00AE329D" w:rsidRDefault="00AE329D" w:rsidP="00AE329D">
      <w:pPr>
        <w:pBdr>
          <w:top w:val="single" w:sz="4" w:space="1" w:color="auto"/>
          <w:left w:val="single" w:sz="4" w:space="4" w:color="auto"/>
          <w:bottom w:val="single" w:sz="4" w:space="1" w:color="auto"/>
          <w:right w:val="single" w:sz="4" w:space="4" w:color="auto"/>
        </w:pBdr>
        <w:rPr>
          <w:b/>
          <w:bCs/>
        </w:rPr>
      </w:pPr>
      <w:r>
        <w:rPr>
          <w:b/>
          <w:bCs/>
          <w:color w:val="000000"/>
          <w:sz w:val="36"/>
          <w:szCs w:val="36"/>
        </w:rPr>
        <w:t>Дмитрий Викторович К.</w:t>
      </w:r>
    </w:p>
    <w:p w14:paraId="1A8D9E5C" w14:textId="50F601D4"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220" w:beforeAutospacing="0" w:after="0" w:afterAutospacing="0"/>
        <w:ind w:firstLine="720"/>
        <w:jc w:val="both"/>
        <w:rPr>
          <w:rFonts w:asciiTheme="minorHAnsi" w:hAnsiTheme="minorHAnsi" w:cstheme="minorHAnsi"/>
          <w:sz w:val="22"/>
          <w:szCs w:val="22"/>
        </w:rPr>
      </w:pPr>
      <w:r w:rsidRPr="00AE329D">
        <w:rPr>
          <w:rFonts w:asciiTheme="minorHAnsi" w:hAnsiTheme="minorHAnsi" w:cstheme="minorHAnsi"/>
          <w:color w:val="000000"/>
          <w:sz w:val="22"/>
          <w:szCs w:val="22"/>
          <w:u w:val="single"/>
          <w:shd w:val="clear" w:color="auto" w:fill="FFFFFF"/>
        </w:rPr>
        <w:t>Вопрос</w:t>
      </w:r>
      <w:r w:rsidRPr="00AE329D">
        <w:rPr>
          <w:rFonts w:asciiTheme="minorHAnsi" w:hAnsiTheme="minorHAnsi" w:cstheme="minorHAnsi"/>
          <w:color w:val="000000"/>
          <w:sz w:val="22"/>
          <w:szCs w:val="22"/>
          <w:shd w:val="clear" w:color="auto" w:fill="FFFFFF"/>
        </w:rPr>
        <w:t>: подлежит ли налогообложению НДФЛ и страховыми взносами оплата расходов на вакцинацию работников (и не</w:t>
      </w:r>
      <w:r w:rsidR="00DA522A">
        <w:rPr>
          <w:rFonts w:asciiTheme="minorHAnsi" w:hAnsiTheme="minorHAnsi" w:cstheme="minorHAnsi"/>
          <w:color w:val="000000"/>
          <w:sz w:val="22"/>
          <w:szCs w:val="22"/>
          <w:shd w:val="clear" w:color="auto" w:fill="FFFFFF"/>
        </w:rPr>
        <w:t xml:space="preserve"> </w:t>
      </w:r>
      <w:r w:rsidRPr="00AE329D">
        <w:rPr>
          <w:rFonts w:asciiTheme="minorHAnsi" w:hAnsiTheme="minorHAnsi" w:cstheme="minorHAnsi"/>
          <w:color w:val="000000"/>
          <w:sz w:val="22"/>
          <w:szCs w:val="22"/>
          <w:shd w:val="clear" w:color="auto" w:fill="FFFFFF"/>
        </w:rPr>
        <w:t>работников) от COVID-19, а также диагностики на антитела и ПЦР-тестов за счет целевых и прочих поступлений на содержание и ведение уставной деятельности НКО?</w:t>
      </w:r>
    </w:p>
    <w:p w14:paraId="4600DCE7"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Ссылки:</w:t>
      </w:r>
    </w:p>
    <w:p w14:paraId="2A276D93"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&lt;1&gt; ст. 41, п. 1 ст. 210, п. 1 ст. 420 НК РФ; п. 1 ст. 20.1 Закона от 24.07.98 N 125-ФЗ.</w:t>
      </w:r>
    </w:p>
    <w:p w14:paraId="45A36A35"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&lt;2&gt; п. 10 ст. 217 НК РФ; Письмо Минфина от 13.08.2012 N 03-04-06/6-237.</w:t>
      </w:r>
    </w:p>
    <w:p w14:paraId="292E49DF"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&lt;3&gt; п. 10 ст. 217 НК РФ.</w:t>
      </w:r>
    </w:p>
    <w:p w14:paraId="6FD4C8F3"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&lt;4&gt; ст. 41 НК РФ.</w:t>
      </w:r>
    </w:p>
    <w:p w14:paraId="512E036B"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&lt;5&gt; ст. 420 НК РФ.</w:t>
      </w:r>
    </w:p>
    <w:p w14:paraId="6D46047F"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 xml:space="preserve">Если работодатель проводит </w:t>
      </w:r>
      <w:r w:rsidRPr="00AE329D">
        <w:rPr>
          <w:rFonts w:asciiTheme="minorHAnsi" w:hAnsiTheme="minorHAnsi" w:cstheme="minorHAnsi"/>
          <w:color w:val="000000"/>
          <w:sz w:val="22"/>
          <w:szCs w:val="22"/>
          <w:u w:val="single"/>
          <w:shd w:val="clear" w:color="auto" w:fill="FFFFFF"/>
        </w:rPr>
        <w:t>обязательную</w:t>
      </w:r>
      <w:r w:rsidRPr="00AE329D">
        <w:rPr>
          <w:rFonts w:asciiTheme="minorHAnsi" w:hAnsiTheme="minorHAnsi" w:cstheme="minorHAnsi"/>
          <w:color w:val="000000"/>
          <w:sz w:val="22"/>
          <w:szCs w:val="22"/>
          <w:shd w:val="clear" w:color="auto" w:fill="FFFFFF"/>
        </w:rPr>
        <w:t xml:space="preserve"> вакцинацию, прежде всего в своих собственных интересах. А значит, у работника не возникает экономической выгоды. Поэтому на стоимость вакцинации не надо начислять ни НДФЛ, ни страховые взносы </w:t>
      </w:r>
      <w:hyperlink r:id="rId7" w:anchor="mailruanchor_Par73" w:history="1">
        <w:r w:rsidRPr="00AE329D">
          <w:rPr>
            <w:rStyle w:val="a4"/>
            <w:rFonts w:asciiTheme="minorHAnsi" w:hAnsiTheme="minorHAnsi" w:cstheme="minorHAnsi"/>
            <w:color w:val="000000"/>
            <w:sz w:val="22"/>
            <w:szCs w:val="22"/>
            <w:shd w:val="clear" w:color="auto" w:fill="FFFFFF"/>
          </w:rPr>
          <w:t>&lt;1&gt;</w:t>
        </w:r>
      </w:hyperlink>
      <w:r w:rsidRPr="00AE329D">
        <w:rPr>
          <w:rFonts w:asciiTheme="minorHAnsi" w:hAnsiTheme="minorHAnsi" w:cstheme="minorHAnsi"/>
          <w:color w:val="000000"/>
          <w:sz w:val="22"/>
          <w:szCs w:val="22"/>
          <w:shd w:val="clear" w:color="auto" w:fill="FFFFFF"/>
        </w:rPr>
        <w:t>.</w:t>
      </w:r>
    </w:p>
    <w:p w14:paraId="32277A2B"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 xml:space="preserve">Если же вакцинация </w:t>
      </w:r>
      <w:r w:rsidRPr="00AE329D">
        <w:rPr>
          <w:rFonts w:asciiTheme="minorHAnsi" w:hAnsiTheme="minorHAnsi" w:cstheme="minorHAnsi"/>
          <w:color w:val="000000"/>
          <w:sz w:val="22"/>
          <w:szCs w:val="22"/>
          <w:u w:val="single"/>
          <w:shd w:val="clear" w:color="auto" w:fill="FFFFFF"/>
        </w:rPr>
        <w:t>не была обязательной</w:t>
      </w:r>
      <w:r w:rsidRPr="00AE329D">
        <w:rPr>
          <w:rFonts w:asciiTheme="minorHAnsi" w:hAnsiTheme="minorHAnsi" w:cstheme="minorHAnsi"/>
          <w:color w:val="000000"/>
          <w:sz w:val="22"/>
          <w:szCs w:val="22"/>
          <w:shd w:val="clear" w:color="auto" w:fill="FFFFFF"/>
        </w:rPr>
        <w:t xml:space="preserve">, то полагаем все усложняется. Проверяющие наверняка сочтут, что у работника возникает доход. А следовательно, потребуют исчислить с него НДФЛ. Правда, только если затраты на вакцинацию были учтены при расчете налога на прибыль </w:t>
      </w:r>
      <w:hyperlink r:id="rId8" w:anchor="mailruanchor_Par74" w:history="1">
        <w:r w:rsidRPr="00AE329D">
          <w:rPr>
            <w:rStyle w:val="a4"/>
            <w:rFonts w:asciiTheme="minorHAnsi" w:hAnsiTheme="minorHAnsi" w:cstheme="minorHAnsi"/>
            <w:color w:val="000000"/>
            <w:sz w:val="22"/>
            <w:szCs w:val="22"/>
            <w:shd w:val="clear" w:color="auto" w:fill="FFFFFF"/>
          </w:rPr>
          <w:t>&lt;2&gt;</w:t>
        </w:r>
      </w:hyperlink>
      <w:r w:rsidRPr="00AE329D">
        <w:rPr>
          <w:rFonts w:asciiTheme="minorHAnsi" w:hAnsiTheme="minorHAnsi" w:cstheme="minorHAnsi"/>
          <w:color w:val="000000"/>
          <w:sz w:val="22"/>
          <w:szCs w:val="22"/>
          <w:shd w:val="clear" w:color="auto" w:fill="FFFFFF"/>
        </w:rPr>
        <w:t>, что в случае НКО сомнительно.</w:t>
      </w:r>
    </w:p>
    <w:p w14:paraId="2F868B2E"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u w:val="single"/>
          <w:shd w:val="clear" w:color="auto" w:fill="FFFFFF"/>
        </w:rPr>
        <w:t>НДФЛ при оплате работодателем необязательной вакцинации для работников:</w:t>
      </w:r>
    </w:p>
    <w:p w14:paraId="57962918"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shd w:val="clear" w:color="auto" w:fill="FFFFFF"/>
        </w:rPr>
        <w:t xml:space="preserve">- Суммы оплаты работодателем медицинского обслуживания сотрудников (вакцинация против covid-19) освобождаются от обложения НДФЛ, только если такие суммы выплачены за счет средств, оставшихся у организации после уплаты налога на прибыль </w:t>
      </w:r>
      <w:hyperlink r:id="rId9" w:anchor="mailruanchor_Par75" w:history="1">
        <w:r w:rsidRPr="00AE329D">
          <w:rPr>
            <w:rStyle w:val="a4"/>
            <w:rFonts w:asciiTheme="minorHAnsi" w:hAnsiTheme="minorHAnsi" w:cstheme="minorHAnsi"/>
            <w:i/>
            <w:iCs/>
            <w:color w:val="000000"/>
            <w:sz w:val="22"/>
            <w:szCs w:val="22"/>
            <w:shd w:val="clear" w:color="auto" w:fill="FFFFFF"/>
          </w:rPr>
          <w:t>&lt;3&gt;</w:t>
        </w:r>
      </w:hyperlink>
      <w:r w:rsidRPr="00AE329D">
        <w:rPr>
          <w:rFonts w:asciiTheme="minorHAnsi" w:hAnsiTheme="minorHAnsi" w:cstheme="minorHAnsi"/>
          <w:i/>
          <w:iCs/>
          <w:color w:val="000000"/>
          <w:sz w:val="22"/>
          <w:szCs w:val="22"/>
          <w:shd w:val="clear" w:color="auto" w:fill="FFFFFF"/>
        </w:rPr>
        <w:t xml:space="preserve">. Лишь в отношении вакцинации работников, проведение которой обязательно в силу закона, можно говорить о том, что у работников не возникает налогооблагаемого дохода </w:t>
      </w:r>
      <w:hyperlink r:id="rId10" w:anchor="mailruanchor_Par76" w:history="1">
        <w:r w:rsidRPr="00AE329D">
          <w:rPr>
            <w:rStyle w:val="a4"/>
            <w:rFonts w:asciiTheme="minorHAnsi" w:hAnsiTheme="minorHAnsi" w:cstheme="minorHAnsi"/>
            <w:i/>
            <w:iCs/>
            <w:color w:val="000000"/>
            <w:sz w:val="22"/>
            <w:szCs w:val="22"/>
            <w:shd w:val="clear" w:color="auto" w:fill="FFFFFF"/>
          </w:rPr>
          <w:t>&lt;4&gt;</w:t>
        </w:r>
      </w:hyperlink>
      <w:r w:rsidRPr="00AE329D">
        <w:rPr>
          <w:rFonts w:asciiTheme="minorHAnsi" w:hAnsiTheme="minorHAnsi" w:cstheme="minorHAnsi"/>
          <w:i/>
          <w:iCs/>
          <w:color w:val="000000"/>
          <w:sz w:val="22"/>
          <w:szCs w:val="22"/>
          <w:shd w:val="clear" w:color="auto" w:fill="FFFFFF"/>
        </w:rPr>
        <w:t>.</w:t>
      </w:r>
    </w:p>
    <w:p w14:paraId="36B35F34"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shd w:val="clear" w:color="auto" w:fill="FFFFFF"/>
        </w:rPr>
        <w:t>Но тогда придется удержать с работников НДФЛ.</w:t>
      </w:r>
    </w:p>
    <w:p w14:paraId="1A580D6F"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 Похожая ситуация и со страховыми взносами, только для них не имеет значения, были учтены затраты на вакцинацию в "прибыльных" расходах или нет.</w:t>
      </w:r>
    </w:p>
    <w:p w14:paraId="3F081000"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u w:val="single"/>
          <w:shd w:val="clear" w:color="auto" w:fill="FFFFFF"/>
        </w:rPr>
        <w:t>Страховые взносы при проведении вакцинации работников организации:</w:t>
      </w:r>
    </w:p>
    <w:p w14:paraId="335A9E14" w14:textId="0B4A34BF"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shd w:val="clear" w:color="auto" w:fill="FFFFFF"/>
        </w:rPr>
        <w:t>- В случае</w:t>
      </w:r>
      <w:r w:rsidR="00DA522A">
        <w:rPr>
          <w:rFonts w:asciiTheme="minorHAnsi" w:hAnsiTheme="minorHAnsi" w:cstheme="minorHAnsi"/>
          <w:i/>
          <w:iCs/>
          <w:color w:val="000000"/>
          <w:sz w:val="22"/>
          <w:szCs w:val="22"/>
          <w:shd w:val="clear" w:color="auto" w:fill="FFFFFF"/>
        </w:rPr>
        <w:t>,</w:t>
      </w:r>
      <w:r w:rsidRPr="00AE329D">
        <w:rPr>
          <w:rFonts w:asciiTheme="minorHAnsi" w:hAnsiTheme="minorHAnsi" w:cstheme="minorHAnsi"/>
          <w:i/>
          <w:iCs/>
          <w:color w:val="000000"/>
          <w:sz w:val="22"/>
          <w:szCs w:val="22"/>
          <w:shd w:val="clear" w:color="auto" w:fill="FFFFFF"/>
        </w:rPr>
        <w:t xml:space="preserve"> когда вакцинация работников от covid-19 проводится по инициативе работодателя и работник согласен на прививку, его заинтересованность, на наш взгляд, налицо.</w:t>
      </w:r>
    </w:p>
    <w:p w14:paraId="366F2315"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shd w:val="clear" w:color="auto" w:fill="FFFFFF"/>
        </w:rPr>
        <w:t xml:space="preserve">Поэтому затраты на такую вакцинацию рассматриваются как выплаты (оплата услуг сторонним организациям за работника) в рамках трудовых отношений, признаваемые объектом обложения страховыми взносами </w:t>
      </w:r>
      <w:hyperlink r:id="rId11" w:anchor="mailruanchor_Par78" w:history="1">
        <w:r w:rsidRPr="00AE329D">
          <w:rPr>
            <w:rStyle w:val="a4"/>
            <w:rFonts w:asciiTheme="minorHAnsi" w:hAnsiTheme="minorHAnsi" w:cstheme="minorHAnsi"/>
            <w:i/>
            <w:iCs/>
            <w:color w:val="000000"/>
            <w:sz w:val="22"/>
            <w:szCs w:val="22"/>
            <w:shd w:val="clear" w:color="auto" w:fill="FFFFFF"/>
          </w:rPr>
          <w:t>&lt;5&gt;</w:t>
        </w:r>
      </w:hyperlink>
      <w:r w:rsidRPr="00AE329D">
        <w:rPr>
          <w:rFonts w:asciiTheme="minorHAnsi" w:hAnsiTheme="minorHAnsi" w:cstheme="minorHAnsi"/>
          <w:i/>
          <w:iCs/>
          <w:color w:val="000000"/>
          <w:sz w:val="22"/>
          <w:szCs w:val="22"/>
          <w:shd w:val="clear" w:color="auto" w:fill="FFFFFF"/>
        </w:rPr>
        <w:t>.</w:t>
      </w:r>
    </w:p>
    <w:p w14:paraId="60A1B0D9"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 xml:space="preserve">Однако существует и другой подход - рискованный: не исчислять ни НДФЛ, ни страховые взносы с затрат на </w:t>
      </w:r>
      <w:r w:rsidRPr="00AE329D">
        <w:rPr>
          <w:rFonts w:asciiTheme="minorHAnsi" w:hAnsiTheme="minorHAnsi" w:cstheme="minorHAnsi"/>
          <w:b/>
          <w:bCs/>
          <w:color w:val="000000"/>
          <w:sz w:val="22"/>
          <w:szCs w:val="22"/>
          <w:u w:val="single"/>
          <w:shd w:val="clear" w:color="auto" w:fill="FFFFFF"/>
        </w:rPr>
        <w:t>необязательную</w:t>
      </w:r>
      <w:r w:rsidRPr="00AE329D">
        <w:rPr>
          <w:rFonts w:asciiTheme="minorHAnsi" w:hAnsiTheme="minorHAnsi" w:cstheme="minorHAnsi"/>
          <w:color w:val="000000"/>
          <w:sz w:val="22"/>
          <w:szCs w:val="22"/>
          <w:shd w:val="clear" w:color="auto" w:fill="FFFFFF"/>
        </w:rPr>
        <w:t xml:space="preserve"> вакцинацию.</w:t>
      </w:r>
    </w:p>
    <w:p w14:paraId="360A54F7" w14:textId="38D649E5"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Что касается диагностических исследований работников (или не</w:t>
      </w:r>
      <w:r w:rsidR="00DA522A">
        <w:rPr>
          <w:rFonts w:asciiTheme="minorHAnsi" w:hAnsiTheme="minorHAnsi" w:cstheme="minorHAnsi"/>
          <w:color w:val="000000"/>
          <w:sz w:val="22"/>
          <w:szCs w:val="22"/>
          <w:shd w:val="clear" w:color="auto" w:fill="FFFFFF"/>
        </w:rPr>
        <w:t xml:space="preserve"> </w:t>
      </w:r>
      <w:r w:rsidRPr="00AE329D">
        <w:rPr>
          <w:rFonts w:asciiTheme="minorHAnsi" w:hAnsiTheme="minorHAnsi" w:cstheme="minorHAnsi"/>
          <w:color w:val="000000"/>
          <w:sz w:val="22"/>
          <w:szCs w:val="22"/>
          <w:shd w:val="clear" w:color="auto" w:fill="FFFFFF"/>
        </w:rPr>
        <w:t>работников) на антитела и проведение ПЦР-тестов, то в случае</w:t>
      </w:r>
      <w:r w:rsidR="00DA522A">
        <w:rPr>
          <w:rFonts w:asciiTheme="minorHAnsi" w:hAnsiTheme="minorHAnsi" w:cstheme="minorHAnsi"/>
          <w:color w:val="000000"/>
          <w:sz w:val="22"/>
          <w:szCs w:val="22"/>
          <w:shd w:val="clear" w:color="auto" w:fill="FFFFFF"/>
        </w:rPr>
        <w:t>,</w:t>
      </w:r>
      <w:r w:rsidRPr="00AE329D">
        <w:rPr>
          <w:rFonts w:asciiTheme="minorHAnsi" w:hAnsiTheme="minorHAnsi" w:cstheme="minorHAnsi"/>
          <w:color w:val="000000"/>
          <w:sz w:val="22"/>
          <w:szCs w:val="22"/>
          <w:shd w:val="clear" w:color="auto" w:fill="FFFFFF"/>
        </w:rPr>
        <w:t xml:space="preserve"> если их оплата осуществляется в рамках направлений расходования средств на обеспечение безопасных условий труда, и производятся самим работодателем по договорам с медицинскими организациями, то полагаем объекта налогообложения НДФЛ и страховыми взносами не усматривается с учетом следующего обоснования:</w:t>
      </w:r>
    </w:p>
    <w:p w14:paraId="456A634B"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Если организация оплачивает тестирование работников на коронавирус, чтобы обеспечить безопасные условия труда, то НДФЛ платить не нужно, потому что у сотрудников нет экономической выгоды. Затраты на ПЦР-тестирование и анализы на антитела можно учесть в прочих расходах.</w:t>
      </w:r>
    </w:p>
    <w:p w14:paraId="1D700CBD"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А вот ситуация со страховыми взносами немного сложнее. Когда работодатель организует медосмотры, поскольку обязан это делать, взносы перечислять не нужно. Если же сотрудник получает компенсацию, то, как считает ФНС, взносы придется заплатить как с выплаты в рамках трудовых отношений.</w:t>
      </w:r>
    </w:p>
    <w:p w14:paraId="6EA575FD" w14:textId="0FDDAD1D"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lastRenderedPageBreak/>
        <w:t>Аналогичное мнение неоднократно высказывал Минфин и в отношении НДФЛ</w:t>
      </w:r>
      <w:r w:rsidR="00DA522A">
        <w:rPr>
          <w:rFonts w:asciiTheme="minorHAnsi" w:hAnsiTheme="minorHAnsi" w:cstheme="minorHAnsi"/>
          <w:color w:val="000000"/>
          <w:sz w:val="22"/>
          <w:szCs w:val="22"/>
          <w:shd w:val="clear" w:color="auto" w:fill="FFFFFF"/>
        </w:rPr>
        <w:t>,</w:t>
      </w:r>
      <w:r w:rsidRPr="00AE329D">
        <w:rPr>
          <w:rFonts w:asciiTheme="minorHAnsi" w:hAnsiTheme="minorHAnsi" w:cstheme="minorHAnsi"/>
          <w:color w:val="000000"/>
          <w:sz w:val="22"/>
          <w:szCs w:val="22"/>
          <w:shd w:val="clear" w:color="auto" w:fill="FFFFFF"/>
        </w:rPr>
        <w:t xml:space="preserve"> и касательно взносов.</w:t>
      </w:r>
    </w:p>
    <w:p w14:paraId="5CAC681D"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shd w:val="clear" w:color="auto" w:fill="FFFFFF"/>
        </w:rPr>
        <w:t>Документы: Письмо ФНС России от 27.11.2020 N БС-4-11/19575@</w:t>
      </w:r>
    </w:p>
    <w:p w14:paraId="5D230E74" w14:textId="77777777"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40"/>
        <w:jc w:val="both"/>
        <w:rPr>
          <w:rFonts w:asciiTheme="minorHAnsi" w:hAnsiTheme="minorHAnsi" w:cstheme="minorHAnsi"/>
          <w:sz w:val="22"/>
          <w:szCs w:val="22"/>
        </w:rPr>
      </w:pPr>
      <w:r w:rsidRPr="00AE329D">
        <w:rPr>
          <w:rFonts w:asciiTheme="minorHAnsi" w:hAnsiTheme="minorHAnsi" w:cstheme="minorHAnsi"/>
          <w:i/>
          <w:iCs/>
          <w:color w:val="000000"/>
          <w:sz w:val="22"/>
          <w:szCs w:val="22"/>
          <w:shd w:val="clear" w:color="auto" w:fill="FFFFFF"/>
        </w:rPr>
        <w:t>Письмо ФНС России от 01.12.2020 N БС-4-11/19712@</w:t>
      </w:r>
    </w:p>
    <w:p w14:paraId="24EE63E4" w14:textId="44A63A65" w:rsidR="00AE329D" w:rsidRPr="00AE329D" w:rsidRDefault="00AE329D" w:rsidP="00AE329D">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220" w:afterAutospacing="0"/>
        <w:ind w:firstLine="540"/>
        <w:jc w:val="both"/>
        <w:rPr>
          <w:rFonts w:asciiTheme="minorHAnsi" w:hAnsiTheme="minorHAnsi" w:cstheme="minorHAnsi"/>
          <w:sz w:val="22"/>
          <w:szCs w:val="22"/>
        </w:rPr>
      </w:pPr>
      <w:r w:rsidRPr="00AE329D">
        <w:rPr>
          <w:rFonts w:asciiTheme="minorHAnsi" w:hAnsiTheme="minorHAnsi" w:cstheme="minorHAnsi"/>
          <w:color w:val="000000"/>
          <w:sz w:val="22"/>
          <w:szCs w:val="22"/>
          <w:shd w:val="clear" w:color="auto" w:fill="FFFFFF"/>
        </w:rPr>
        <w:t>Правильно ли мы понимаем подходы в части н/о к указанным расходам в отношении работников и не</w:t>
      </w:r>
      <w:r w:rsidR="00E87D22">
        <w:rPr>
          <w:rFonts w:asciiTheme="minorHAnsi" w:hAnsiTheme="minorHAnsi" w:cstheme="minorHAnsi"/>
          <w:color w:val="000000"/>
          <w:sz w:val="22"/>
          <w:szCs w:val="22"/>
          <w:shd w:val="clear" w:color="auto" w:fill="FFFFFF"/>
        </w:rPr>
        <w:t xml:space="preserve"> </w:t>
      </w:r>
      <w:r w:rsidRPr="00AE329D">
        <w:rPr>
          <w:rFonts w:asciiTheme="minorHAnsi" w:hAnsiTheme="minorHAnsi" w:cstheme="minorHAnsi"/>
          <w:color w:val="000000"/>
          <w:sz w:val="22"/>
          <w:szCs w:val="22"/>
          <w:shd w:val="clear" w:color="auto" w:fill="FFFFFF"/>
        </w:rPr>
        <w:t>работников НКО?</w:t>
      </w:r>
    </w:p>
    <w:p w14:paraId="4447215C" w14:textId="77777777" w:rsidR="00DA522A" w:rsidRDefault="00DA522A" w:rsidP="00DA522A">
      <w:pPr>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proofErr w:type="gramStart"/>
      <w:r>
        <w:rPr>
          <w:rFonts w:ascii="Calibri" w:hAnsi="Calibri" w:cs="Calibri"/>
          <w:b/>
          <w:bCs/>
        </w:rPr>
        <w:t>:</w:t>
      </w:r>
      <w:r>
        <w:rPr>
          <w:rFonts w:ascii="Calibri" w:hAnsi="Calibri" w:cs="Calibri"/>
        </w:rPr>
        <w:t xml:space="preserve"> О</w:t>
      </w:r>
      <w:proofErr w:type="gramEnd"/>
      <w:r>
        <w:rPr>
          <w:rFonts w:ascii="Calibri" w:hAnsi="Calibri" w:cs="Calibri"/>
        </w:rPr>
        <w:t xml:space="preserve"> налоге на прибыль, НДФЛ и страховых взносах при оплате исследований на предмет наличия у работников коронавирусной инфекции (2019-nCoV).</w:t>
      </w:r>
    </w:p>
    <w:p w14:paraId="77D78F06" w14:textId="77777777" w:rsidR="00DA522A" w:rsidRDefault="00DA522A" w:rsidP="00DA522A">
      <w:pPr>
        <w:autoSpaceDE w:val="0"/>
        <w:autoSpaceDN w:val="0"/>
        <w:adjustRightInd w:val="0"/>
        <w:spacing w:after="0" w:line="240" w:lineRule="auto"/>
        <w:rPr>
          <w:rFonts w:ascii="Calibri" w:hAnsi="Calibri" w:cs="Calibri"/>
        </w:rPr>
      </w:pPr>
    </w:p>
    <w:p w14:paraId="2396D9C2" w14:textId="77777777" w:rsidR="00DA522A" w:rsidRDefault="00DA522A" w:rsidP="00DA522A">
      <w:pPr>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14:paraId="6D2CB5A0" w14:textId="77777777" w:rsidR="00DA522A" w:rsidRDefault="00DA522A" w:rsidP="00DA522A">
      <w:pPr>
        <w:autoSpaceDE w:val="0"/>
        <w:autoSpaceDN w:val="0"/>
        <w:adjustRightInd w:val="0"/>
        <w:spacing w:before="220"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14:paraId="6740A645" w14:textId="77777777" w:rsidR="00DA522A" w:rsidRDefault="00DA522A" w:rsidP="00DA522A">
      <w:pPr>
        <w:autoSpaceDE w:val="0"/>
        <w:autoSpaceDN w:val="0"/>
        <w:adjustRightInd w:val="0"/>
        <w:spacing w:after="0" w:line="240" w:lineRule="auto"/>
        <w:jc w:val="center"/>
        <w:rPr>
          <w:rFonts w:ascii="Calibri" w:hAnsi="Calibri" w:cs="Calibri"/>
          <w:b/>
          <w:bCs/>
        </w:rPr>
      </w:pPr>
    </w:p>
    <w:p w14:paraId="36379BAE" w14:textId="77777777" w:rsidR="00DA522A" w:rsidRDefault="00DA522A" w:rsidP="00DA522A">
      <w:pPr>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14:paraId="0E5C2A4C" w14:textId="77777777" w:rsidR="00DA522A" w:rsidRDefault="00DA522A" w:rsidP="00DA522A">
      <w:pPr>
        <w:autoSpaceDE w:val="0"/>
        <w:autoSpaceDN w:val="0"/>
        <w:adjustRightInd w:val="0"/>
        <w:spacing w:after="0" w:line="240" w:lineRule="auto"/>
        <w:jc w:val="center"/>
        <w:rPr>
          <w:rFonts w:ascii="Calibri" w:hAnsi="Calibri" w:cs="Calibri"/>
          <w:b/>
          <w:bCs/>
        </w:rPr>
      </w:pPr>
      <w:r>
        <w:rPr>
          <w:rFonts w:ascii="Calibri" w:hAnsi="Calibri" w:cs="Calibri"/>
          <w:b/>
          <w:bCs/>
        </w:rPr>
        <w:t>от 11 декабря 2020 г. N 03-01-10/108586</w:t>
      </w:r>
    </w:p>
    <w:p w14:paraId="00CF4F0D" w14:textId="77777777" w:rsidR="00DA522A" w:rsidRDefault="00DA522A" w:rsidP="00DA522A">
      <w:pPr>
        <w:autoSpaceDE w:val="0"/>
        <w:autoSpaceDN w:val="0"/>
        <w:adjustRightInd w:val="0"/>
        <w:spacing w:after="0" w:line="240" w:lineRule="auto"/>
        <w:rPr>
          <w:rFonts w:ascii="Calibri" w:hAnsi="Calibri" w:cs="Calibri"/>
        </w:rPr>
      </w:pPr>
    </w:p>
    <w:p w14:paraId="2C1843FF" w14:textId="77777777" w:rsidR="00DA522A" w:rsidRDefault="00DA522A" w:rsidP="00DA522A">
      <w:pPr>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анализа эффективности преференциальных налоговых режимов совместно с Департаментом налоговой политики рассмотрены обращения от 19.10.2020 и от 19.10.2020, а также поступившие по информационным сетям общего пользования и зарегистрированные в Минфине России, и сообщается следующее.</w:t>
      </w:r>
    </w:p>
    <w:p w14:paraId="39F54FCD" w14:textId="77777777" w:rsidR="00DA522A" w:rsidRPr="00B70112" w:rsidRDefault="00DA522A" w:rsidP="00DA522A">
      <w:pPr>
        <w:autoSpaceDE w:val="0"/>
        <w:autoSpaceDN w:val="0"/>
        <w:adjustRightInd w:val="0"/>
        <w:spacing w:before="220" w:after="0" w:line="240" w:lineRule="auto"/>
        <w:ind w:firstLine="540"/>
        <w:jc w:val="both"/>
        <w:rPr>
          <w:rFonts w:ascii="Calibri" w:hAnsi="Calibri" w:cs="Calibri"/>
          <w:b/>
        </w:rPr>
      </w:pPr>
      <w:r w:rsidRPr="00B70112">
        <w:rPr>
          <w:rFonts w:ascii="Calibri" w:hAnsi="Calibri" w:cs="Calibri"/>
          <w:b/>
        </w:rPr>
        <w:t>В части налога на прибыль организаций</w:t>
      </w:r>
    </w:p>
    <w:p w14:paraId="1303395D"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1 статьи 252</w:t>
        </w:r>
      </w:hyperlink>
      <w:r>
        <w:rPr>
          <w:rFonts w:ascii="Calibri" w:hAnsi="Calibri" w:cs="Calibri"/>
        </w:rPr>
        <w:t xml:space="preserve"> Налогового кодекса Российской Федерации (далее - Кодекс) в целях налогообложения прибыли организаций налогоплательщик уменьшает полученные доходы на сумму произведенных расходов (за исключением расходов, указанных в </w:t>
      </w:r>
      <w:hyperlink r:id="rId13" w:history="1">
        <w:r>
          <w:rPr>
            <w:rFonts w:ascii="Calibri" w:hAnsi="Calibri" w:cs="Calibri"/>
            <w:color w:val="0000FF"/>
          </w:rPr>
          <w:t>статье 270</w:t>
        </w:r>
      </w:hyperlink>
      <w:r>
        <w:rPr>
          <w:rFonts w:ascii="Calibri" w:hAnsi="Calibri" w:cs="Calibri"/>
        </w:rPr>
        <w:t xml:space="preserve"> Кодекса). При этом расходами признаются любые обоснованные и документально подтвержденные затраты (в случаях, предусмотренных </w:t>
      </w:r>
      <w:hyperlink r:id="rId14" w:history="1">
        <w:r>
          <w:rPr>
            <w:rFonts w:ascii="Calibri" w:hAnsi="Calibri" w:cs="Calibri"/>
            <w:color w:val="0000FF"/>
          </w:rPr>
          <w:t>статьей 265</w:t>
        </w:r>
      </w:hyperlink>
      <w:r>
        <w:rPr>
          <w:rFonts w:ascii="Calibri" w:hAnsi="Calibri" w:cs="Calibri"/>
        </w:rPr>
        <w:t xml:space="preserve"> Кодекса, убытки), произведенные (понесенные) налогоплательщиком для осуществления деятельности, направленной на получение дохода.</w:t>
      </w:r>
    </w:p>
    <w:p w14:paraId="7DBC6452"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15" w:history="1">
        <w:r>
          <w:rPr>
            <w:rFonts w:ascii="Calibri" w:hAnsi="Calibri" w:cs="Calibri"/>
            <w:color w:val="0000FF"/>
          </w:rPr>
          <w:t>пункту 2 статьи 252</w:t>
        </w:r>
      </w:hyperlink>
      <w:r>
        <w:rPr>
          <w:rFonts w:ascii="Calibri" w:hAnsi="Calibri" w:cs="Calibri"/>
        </w:rPr>
        <w:t xml:space="preserve"> Кодекса 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14:paraId="3F619F31"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Подпунктом 7 пункта 1 статьи 264</w:t>
        </w:r>
      </w:hyperlink>
      <w:r>
        <w:rPr>
          <w:rFonts w:ascii="Calibri" w:hAnsi="Calibri" w:cs="Calibri"/>
        </w:rPr>
        <w:t xml:space="preserve"> Кодекса к прочим расходам, связанным с производством и реализацией, отнесены, в частности, расходы на обеспечение нормальных условий труда и мер по технике безопасности, предусмотренных законодательством Российской Федерации.</w:t>
      </w:r>
    </w:p>
    <w:p w14:paraId="1F24E8F4"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Статьей 212</w:t>
        </w:r>
      </w:hyperlink>
      <w:r>
        <w:rPr>
          <w:rFonts w:ascii="Calibri" w:hAnsi="Calibri" w:cs="Calibri"/>
        </w:rPr>
        <w:t xml:space="preserve"> Трудового кодекса Российской Федерации обязанности по обеспечению безопасных условий и охраны труда возлагаются на работодателя.</w:t>
      </w:r>
    </w:p>
    <w:p w14:paraId="66099D6C"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 </w:t>
      </w:r>
      <w:hyperlink r:id="rId18" w:history="1">
        <w:r>
          <w:rPr>
            <w:rFonts w:ascii="Calibri" w:hAnsi="Calibri" w:cs="Calibri"/>
            <w:color w:val="0000FF"/>
          </w:rPr>
          <w:t>пунктом 1 статьи 39</w:t>
        </w:r>
      </w:hyperlink>
      <w:r>
        <w:rPr>
          <w:rFonts w:ascii="Calibri" w:hAnsi="Calibri" w:cs="Calibri"/>
        </w:rPr>
        <w:t xml:space="preserve"> Федерального закона от 30.03.1999 N 52-ФЗ "О санитарно-эпидемиологическом благополучии населения" (далее - Федеральный закон N 52-ФЗ) установлено, что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14:paraId="19E92EB3"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соблюдение санитарных правил является обязательным для граждан, индивидуальных предпринимателей и юридических лиц (</w:t>
      </w:r>
      <w:hyperlink r:id="rId19" w:history="1">
        <w:r>
          <w:rPr>
            <w:rFonts w:ascii="Calibri" w:hAnsi="Calibri" w:cs="Calibri"/>
            <w:color w:val="0000FF"/>
          </w:rPr>
          <w:t>пункт 3 статьи 39</w:t>
        </w:r>
      </w:hyperlink>
      <w:r>
        <w:rPr>
          <w:rFonts w:ascii="Calibri" w:hAnsi="Calibri" w:cs="Calibri"/>
        </w:rPr>
        <w:t xml:space="preserve"> Федерального закона N 52-ФЗ).</w:t>
      </w:r>
    </w:p>
    <w:p w14:paraId="21B1432D" w14:textId="77777777" w:rsidR="00DA522A" w:rsidRPr="00DA522A" w:rsidRDefault="00DA522A" w:rsidP="00DA522A">
      <w:pPr>
        <w:autoSpaceDE w:val="0"/>
        <w:autoSpaceDN w:val="0"/>
        <w:adjustRightInd w:val="0"/>
        <w:spacing w:before="220" w:after="0" w:line="240" w:lineRule="auto"/>
        <w:ind w:firstLine="540"/>
        <w:jc w:val="both"/>
        <w:rPr>
          <w:rFonts w:ascii="Calibri" w:hAnsi="Calibri" w:cs="Calibri"/>
          <w:i/>
        </w:rPr>
      </w:pPr>
      <w:r w:rsidRPr="00DA522A">
        <w:rPr>
          <w:rFonts w:ascii="Calibri" w:hAnsi="Calibri" w:cs="Calibri"/>
          <w:i/>
        </w:rPr>
        <w:lastRenderedPageBreak/>
        <w:t xml:space="preserve">Таким образом, расходы организаций на оплату услуг по проведению исследований на предмет наличия у работников новой коронавирусной инфекции (2019-nCoV), направленные на выполнение требований действующего законодательства Российской Федерации в части обеспечения нормальных (безопасных) условий труда работников, учитываются для целей налогообложения прибыли организаций в составе прочих расходов, связанных с производством и реализацией, на основании </w:t>
      </w:r>
      <w:hyperlink r:id="rId20" w:history="1">
        <w:r w:rsidRPr="00DA522A">
          <w:rPr>
            <w:rFonts w:ascii="Calibri" w:hAnsi="Calibri" w:cs="Calibri"/>
            <w:i/>
            <w:color w:val="0000FF"/>
          </w:rPr>
          <w:t>подпункта 7 пункта 1 статьи 264</w:t>
        </w:r>
      </w:hyperlink>
      <w:r w:rsidRPr="00DA522A">
        <w:rPr>
          <w:rFonts w:ascii="Calibri" w:hAnsi="Calibri" w:cs="Calibri"/>
          <w:i/>
        </w:rPr>
        <w:t xml:space="preserve"> Кодекса.</w:t>
      </w:r>
    </w:p>
    <w:p w14:paraId="286AC707" w14:textId="77777777" w:rsidR="00DA522A" w:rsidRPr="00B70112" w:rsidRDefault="00DA522A" w:rsidP="00DA522A">
      <w:pPr>
        <w:autoSpaceDE w:val="0"/>
        <w:autoSpaceDN w:val="0"/>
        <w:adjustRightInd w:val="0"/>
        <w:spacing w:before="220" w:after="0" w:line="240" w:lineRule="auto"/>
        <w:ind w:firstLine="540"/>
        <w:jc w:val="both"/>
        <w:rPr>
          <w:rFonts w:ascii="Calibri" w:hAnsi="Calibri" w:cs="Calibri"/>
          <w:b/>
        </w:rPr>
      </w:pPr>
      <w:r w:rsidRPr="00B70112">
        <w:rPr>
          <w:rFonts w:ascii="Calibri" w:hAnsi="Calibri" w:cs="Calibri"/>
          <w:b/>
        </w:rPr>
        <w:t>В части налога на доходы физических лиц (далее - НДФЛ)</w:t>
      </w:r>
    </w:p>
    <w:p w14:paraId="23621B6E"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21" w:history="1">
        <w:r>
          <w:rPr>
            <w:rFonts w:ascii="Calibri" w:hAnsi="Calibri" w:cs="Calibri"/>
            <w:color w:val="0000FF"/>
          </w:rPr>
          <w:t>пункту 1 статьи 210</w:t>
        </w:r>
      </w:hyperlink>
      <w:r>
        <w:rPr>
          <w:rFonts w:ascii="Calibri" w:hAnsi="Calibri" w:cs="Calibri"/>
        </w:rPr>
        <w:t xml:space="preserve"> Кодекса при определении налоговой базы по НДФЛ учитываются все доходы налогоплательщика, полученные им как в денежной, так и в натуральной форме, или право на распоряжение которыми у него возникло.</w:t>
      </w:r>
    </w:p>
    <w:p w14:paraId="05C3142B"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Статья 41</w:t>
        </w:r>
      </w:hyperlink>
      <w:r>
        <w:rPr>
          <w:rFonts w:ascii="Calibri" w:hAnsi="Calibri" w:cs="Calibri"/>
        </w:rPr>
        <w:t xml:space="preserve"> Кодекса определяет доход как экономическую выгоду в денежной или натуральной форме, 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23" w:history="1">
        <w:r>
          <w:rPr>
            <w:rFonts w:ascii="Calibri" w:hAnsi="Calibri" w:cs="Calibri"/>
            <w:color w:val="0000FF"/>
          </w:rPr>
          <w:t>главой 23</w:t>
        </w:r>
      </w:hyperlink>
      <w:r>
        <w:rPr>
          <w:rFonts w:ascii="Calibri" w:hAnsi="Calibri" w:cs="Calibri"/>
        </w:rPr>
        <w:t xml:space="preserve"> Кодекса.</w:t>
      </w:r>
    </w:p>
    <w:p w14:paraId="27E97ADB" w14:textId="77777777" w:rsidR="00DA522A" w:rsidRPr="00DA522A" w:rsidRDefault="00DA522A" w:rsidP="00DA522A">
      <w:pPr>
        <w:autoSpaceDE w:val="0"/>
        <w:autoSpaceDN w:val="0"/>
        <w:adjustRightInd w:val="0"/>
        <w:spacing w:before="220" w:after="0" w:line="240" w:lineRule="auto"/>
        <w:ind w:firstLine="540"/>
        <w:jc w:val="both"/>
        <w:rPr>
          <w:rFonts w:ascii="Calibri" w:hAnsi="Calibri" w:cs="Calibri"/>
          <w:b/>
          <w:bCs/>
          <w:i/>
        </w:rPr>
      </w:pPr>
      <w:r w:rsidRPr="00DA522A">
        <w:rPr>
          <w:rFonts w:ascii="Calibri" w:hAnsi="Calibri" w:cs="Calibri"/>
          <w:b/>
          <w:bCs/>
          <w:i/>
        </w:rPr>
        <w:t>С учетом изложенного если проведение исследований на предмет наличия у работников новой коронавирусной инфекции (2019-nCoV) в организациях, допущенных к проведению таких исследований в соответствии с законодательством Российской Федерации, обусловлено обеспечением нормальных (безопасных) условий труда работников, то экономической выгоды (дохода) у таких работников возникать не будет.</w:t>
      </w:r>
    </w:p>
    <w:p w14:paraId="431AF71B" w14:textId="77777777" w:rsidR="00DA522A" w:rsidRPr="00B70112" w:rsidRDefault="00DA522A" w:rsidP="00DA522A">
      <w:pPr>
        <w:autoSpaceDE w:val="0"/>
        <w:autoSpaceDN w:val="0"/>
        <w:adjustRightInd w:val="0"/>
        <w:spacing w:before="220" w:after="0" w:line="240" w:lineRule="auto"/>
        <w:ind w:firstLine="540"/>
        <w:jc w:val="both"/>
        <w:rPr>
          <w:rFonts w:ascii="Calibri" w:hAnsi="Calibri" w:cs="Calibri"/>
          <w:b/>
        </w:rPr>
      </w:pPr>
      <w:r w:rsidRPr="00B70112">
        <w:rPr>
          <w:rFonts w:ascii="Calibri" w:hAnsi="Calibri" w:cs="Calibri"/>
          <w:b/>
        </w:rPr>
        <w:t>В части страховых взносов</w:t>
      </w:r>
    </w:p>
    <w:p w14:paraId="7C868E96"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Подпунктом 1 пункта 1 статьи 420</w:t>
        </w:r>
      </w:hyperlink>
      <w:r>
        <w:rPr>
          <w:rFonts w:ascii="Calibri" w:hAnsi="Calibri" w:cs="Calibri"/>
        </w:rPr>
        <w:t xml:space="preserve"> Кодекса определено, что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w:t>
      </w:r>
      <w:hyperlink r:id="rId25" w:history="1">
        <w:r>
          <w:rPr>
            <w:rFonts w:ascii="Calibri" w:hAnsi="Calibri" w:cs="Calibri"/>
            <w:color w:val="0000FF"/>
          </w:rPr>
          <w:t>подпункте 2 пункта 1 статьи 419</w:t>
        </w:r>
      </w:hyperlink>
      <w:r>
        <w:rPr>
          <w:rFonts w:ascii="Calibri" w:hAnsi="Calibri" w:cs="Calibri"/>
        </w:rPr>
        <w:t xml:space="preserve"> Кодекса), в частности, в рамках трудовых отношений.</w:t>
      </w:r>
    </w:p>
    <w:p w14:paraId="51191125"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пунктом 1 статьи 421</w:t>
        </w:r>
      </w:hyperlink>
      <w:r>
        <w:rPr>
          <w:rFonts w:ascii="Calibri" w:hAnsi="Calibri" w:cs="Calibri"/>
        </w:rPr>
        <w:t xml:space="preserve"> Кодекса база для исчисления страховых взносов для организаций определяется по истечении каждого календарного месяца как сумма выплат и иных вознаграждений, предусмотренных </w:t>
      </w:r>
      <w:hyperlink r:id="rId27" w:history="1">
        <w:r>
          <w:rPr>
            <w:rFonts w:ascii="Calibri" w:hAnsi="Calibri" w:cs="Calibri"/>
            <w:color w:val="0000FF"/>
          </w:rPr>
          <w:t>пунктом 1 статьи 420</w:t>
        </w:r>
      </w:hyperlink>
      <w:r>
        <w:rPr>
          <w:rFonts w:ascii="Calibri" w:hAnsi="Calibri" w:cs="Calibri"/>
        </w:rPr>
        <w:t xml:space="preserve"> Кодекса, начисленных отдельно в отношении каждого физического лица с начала расчетного периода нарастающим итогом, за исключением сумм, указанных в </w:t>
      </w:r>
      <w:hyperlink r:id="rId28" w:history="1">
        <w:r>
          <w:rPr>
            <w:rFonts w:ascii="Calibri" w:hAnsi="Calibri" w:cs="Calibri"/>
            <w:color w:val="0000FF"/>
          </w:rPr>
          <w:t>статье 422</w:t>
        </w:r>
      </w:hyperlink>
      <w:r>
        <w:rPr>
          <w:rFonts w:ascii="Calibri" w:hAnsi="Calibri" w:cs="Calibri"/>
        </w:rPr>
        <w:t xml:space="preserve"> Кодекса.</w:t>
      </w:r>
    </w:p>
    <w:p w14:paraId="49B38DA2"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sidRPr="00DA522A">
        <w:rPr>
          <w:rFonts w:ascii="Calibri" w:hAnsi="Calibri" w:cs="Calibri"/>
          <w:b/>
          <w:bCs/>
        </w:rPr>
        <w:t xml:space="preserve">При этом в </w:t>
      </w:r>
      <w:hyperlink r:id="rId29" w:history="1">
        <w:r w:rsidRPr="00DA522A">
          <w:rPr>
            <w:rFonts w:ascii="Calibri" w:hAnsi="Calibri" w:cs="Calibri"/>
            <w:b/>
            <w:bCs/>
            <w:color w:val="0000FF"/>
          </w:rPr>
          <w:t>подпункте 2 пункта 1 статьи 422</w:t>
        </w:r>
      </w:hyperlink>
      <w:r w:rsidRPr="00DA522A">
        <w:rPr>
          <w:rFonts w:ascii="Calibri" w:hAnsi="Calibri" w:cs="Calibri"/>
          <w:b/>
          <w:bCs/>
        </w:rPr>
        <w:t xml:space="preserve"> Кодекса в перечне сумм, не подлежащих обложению страховыми взносами, поименованы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связанных, в частности, с выполнением физическим лицом трудовых обязанностей</w:t>
      </w:r>
      <w:r>
        <w:rPr>
          <w:rFonts w:ascii="Calibri" w:hAnsi="Calibri" w:cs="Calibri"/>
        </w:rPr>
        <w:t>.</w:t>
      </w:r>
    </w:p>
    <w:p w14:paraId="084D6DDA"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со </w:t>
      </w:r>
      <w:hyperlink r:id="rId30" w:history="1">
        <w:r>
          <w:rPr>
            <w:rFonts w:ascii="Calibri" w:hAnsi="Calibri" w:cs="Calibri"/>
            <w:color w:val="0000FF"/>
          </w:rPr>
          <w:t>статьей 212</w:t>
        </w:r>
      </w:hyperlink>
      <w:r>
        <w:rPr>
          <w:rFonts w:ascii="Calibri" w:hAnsi="Calibri" w:cs="Calibri"/>
        </w:rPr>
        <w:t xml:space="preserve"> Трудового кодекса Российской Федерации обязанности по обеспечению безопасных условий и охраны труда возлагаются на работодателя.</w:t>
      </w:r>
    </w:p>
    <w:p w14:paraId="1D7BEA30"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31" w:history="1">
        <w:r>
          <w:rPr>
            <w:rFonts w:ascii="Calibri" w:hAnsi="Calibri" w:cs="Calibri"/>
            <w:color w:val="0000FF"/>
          </w:rPr>
          <w:t>пункту 2 статьи 25</w:t>
        </w:r>
      </w:hyperlink>
      <w:r>
        <w:rPr>
          <w:rFonts w:ascii="Calibri" w:hAnsi="Calibri" w:cs="Calibri"/>
        </w:rPr>
        <w:t xml:space="preserve"> Федерального закона N 52-ФЗ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в целях предупреждения в том числе инфекционных заболеваний.</w:t>
      </w:r>
    </w:p>
    <w:p w14:paraId="35D3EA70"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32" w:history="1">
        <w:r>
          <w:rPr>
            <w:rFonts w:ascii="Calibri" w:hAnsi="Calibri" w:cs="Calibri"/>
            <w:color w:val="0000FF"/>
          </w:rPr>
          <w:t>пунктом "а.2" статьи 10</w:t>
        </w:r>
      </w:hyperlink>
      <w:r>
        <w:rPr>
          <w:rFonts w:ascii="Calibri" w:hAnsi="Calibri" w:cs="Calibri"/>
        </w:rPr>
        <w:t xml:space="preserve"> Федерального закона от 21.12.1994 N 68-ФЗ "О защите населения и территорий от чрезвычайных ситуаций природного и техногенного характера" (далее - Федеральный закон N 68-ФЗ) Правительство Российской Федерации устанавливает обязательные </w:t>
      </w:r>
      <w:r>
        <w:rPr>
          <w:rFonts w:ascii="Calibri" w:hAnsi="Calibri" w:cs="Calibri"/>
        </w:rPr>
        <w:lastRenderedPageBreak/>
        <w:t>для исполнения гражданами и организациями правила поведения при введении режима повышенной готовности или чрезвычайной ситуации.</w:t>
      </w:r>
    </w:p>
    <w:p w14:paraId="1DD58A9B" w14:textId="77777777" w:rsidR="00DA522A" w:rsidRDefault="00DA522A" w:rsidP="00DA522A">
      <w:pPr>
        <w:autoSpaceDE w:val="0"/>
        <w:autoSpaceDN w:val="0"/>
        <w:adjustRightInd w:val="0"/>
        <w:spacing w:after="0" w:line="240" w:lineRule="auto"/>
        <w:rPr>
          <w:rFonts w:ascii="Calibri" w:hAnsi="Calibri" w:cs="Calibri"/>
          <w:sz w:val="24"/>
          <w:szCs w:val="24"/>
        </w:rPr>
      </w:pPr>
    </w:p>
    <w:p w14:paraId="24330D77" w14:textId="77777777" w:rsidR="00DA522A" w:rsidRDefault="00DA522A" w:rsidP="00DA522A">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Исходя из положений </w:t>
      </w:r>
      <w:hyperlink r:id="rId33" w:history="1">
        <w:r>
          <w:rPr>
            <w:rFonts w:ascii="Calibri" w:hAnsi="Calibri" w:cs="Calibri"/>
            <w:color w:val="0000FF"/>
          </w:rPr>
          <w:t>пункта 1</w:t>
        </w:r>
      </w:hyperlink>
      <w:r>
        <w:rPr>
          <w:rFonts w:ascii="Calibri" w:hAnsi="Calibri" w:cs="Calibri"/>
        </w:rPr>
        <w:t xml:space="preserve"> постановления Правительства Российской Федерации 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установлено, что граждане и организации обязаны выполнять решения Правительства Российской Федерации, Правительственной комиссии по предупреждению и ликвидации чрезвычайных ситуаций и обеспечению пожарной безопасности или должностных лиц, указанных в </w:t>
      </w:r>
      <w:hyperlink r:id="rId34" w:history="1">
        <w:r>
          <w:rPr>
            <w:rFonts w:ascii="Calibri" w:hAnsi="Calibri" w:cs="Calibri"/>
            <w:color w:val="0000FF"/>
          </w:rPr>
          <w:t>пункте 8</w:t>
        </w:r>
      </w:hyperlink>
      <w:r>
        <w:rPr>
          <w:rFonts w:ascii="Calibri" w:hAnsi="Calibri" w:cs="Calibri"/>
        </w:rPr>
        <w:t xml:space="preserve"> (в частности, должностное лицо, определяемое законом субъекта Российской Федерации - города федерального значения; высшее должностное лицо субъекта Российской Федерации - региональный уровень реагирования) и в </w:t>
      </w:r>
      <w:hyperlink r:id="rId35" w:history="1">
        <w:r>
          <w:rPr>
            <w:rFonts w:ascii="Calibri" w:hAnsi="Calibri" w:cs="Calibri"/>
            <w:color w:val="0000FF"/>
          </w:rPr>
          <w:t>пункте 9 статьи 4.1</w:t>
        </w:r>
      </w:hyperlink>
      <w:r>
        <w:rPr>
          <w:rFonts w:ascii="Calibri" w:hAnsi="Calibri" w:cs="Calibri"/>
        </w:rPr>
        <w:t xml:space="preserve"> Федерального закона N 68-ФЗ, направленные на принятие дополнительных мер по защите населения и территорий от чрезвычайных ситуаций.</w:t>
      </w:r>
    </w:p>
    <w:p w14:paraId="559847B3" w14:textId="77777777" w:rsidR="00DA522A" w:rsidRDefault="00DA522A" w:rsidP="00DA522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случае организации самими работодателями проведения исследований работников на предмет наличия у них новой коронавирусной инфекции (2019-nCoV) и иммунитета к ней в связи с выполнением требований действующего законодательства Российской Федерации, законодательных актов субъектов Российской Федерации, решений представительных органов местного самоуправления и требований в решениях вышеупомянутых должностных лиц (например, для московских организаций - </w:t>
      </w:r>
      <w:hyperlink r:id="rId36" w:history="1">
        <w:r>
          <w:rPr>
            <w:rFonts w:ascii="Calibri" w:hAnsi="Calibri" w:cs="Calibri"/>
            <w:color w:val="0000FF"/>
          </w:rPr>
          <w:t>указ</w:t>
        </w:r>
      </w:hyperlink>
      <w:r>
        <w:rPr>
          <w:rFonts w:ascii="Calibri" w:hAnsi="Calibri" w:cs="Calibri"/>
        </w:rPr>
        <w:t xml:space="preserve"> Мэра Москвы от 05.03.2020 N 12-УМ "О введении режима повышенной готовности") (далее - Требования) в части обеспечения нормальных (безопасных) условий труда работников, которое не связано с выплатами в пользу работников, оплата организацией стоимости данного исследования по договору с медицинским учреждением, допущенным к проведению такого исследования в соответствии с законодательством Российской Федерации, не признается объектом обложения страховыми взносами.</w:t>
      </w:r>
    </w:p>
    <w:p w14:paraId="4E038414" w14:textId="77777777" w:rsidR="00DA522A" w:rsidRPr="00DA522A" w:rsidRDefault="00DA522A" w:rsidP="00DA522A">
      <w:pPr>
        <w:autoSpaceDE w:val="0"/>
        <w:autoSpaceDN w:val="0"/>
        <w:adjustRightInd w:val="0"/>
        <w:spacing w:before="220" w:after="0" w:line="240" w:lineRule="auto"/>
        <w:ind w:firstLine="540"/>
        <w:jc w:val="both"/>
        <w:rPr>
          <w:rFonts w:ascii="Calibri" w:hAnsi="Calibri" w:cs="Calibri"/>
          <w:b/>
          <w:bCs/>
          <w:i/>
        </w:rPr>
      </w:pPr>
      <w:r w:rsidRPr="00DA522A">
        <w:rPr>
          <w:rFonts w:ascii="Calibri" w:hAnsi="Calibri" w:cs="Calibri"/>
          <w:b/>
          <w:bCs/>
          <w:i/>
        </w:rPr>
        <w:t xml:space="preserve">В случае если осуществляемые работодателем выплаты в пользу работников в виде компенсации их расходов по проведению исследований на предмет наличия у них новой коронавирусной инфекции (2019-nCoV) и иммунитета к ней в медицинских учреждениях производятся в соответствии с вышеупомянутыми Требованиями для обеспечения нормальных (безопасных) условий труда работников, то такие суммы могут быть отнесены к компенсационным выплатам, связанным с выполнением трудовых обязанностей, упомянутым в </w:t>
      </w:r>
      <w:hyperlink r:id="rId37" w:history="1">
        <w:r w:rsidRPr="00DA522A">
          <w:rPr>
            <w:rFonts w:ascii="Calibri" w:hAnsi="Calibri" w:cs="Calibri"/>
            <w:b/>
            <w:bCs/>
            <w:i/>
            <w:color w:val="0000FF"/>
          </w:rPr>
          <w:t>статье 422</w:t>
        </w:r>
      </w:hyperlink>
      <w:r w:rsidRPr="00DA522A">
        <w:rPr>
          <w:rFonts w:ascii="Calibri" w:hAnsi="Calibri" w:cs="Calibri"/>
          <w:b/>
          <w:bCs/>
          <w:i/>
        </w:rPr>
        <w:t xml:space="preserve"> Кодекса.</w:t>
      </w:r>
    </w:p>
    <w:p w14:paraId="77EEDC3D" w14:textId="77777777" w:rsidR="00DA522A" w:rsidRPr="00DA522A" w:rsidRDefault="00DA522A" w:rsidP="00DA522A">
      <w:pPr>
        <w:autoSpaceDE w:val="0"/>
        <w:autoSpaceDN w:val="0"/>
        <w:adjustRightInd w:val="0"/>
        <w:spacing w:before="220" w:after="0" w:line="240" w:lineRule="auto"/>
        <w:ind w:firstLine="540"/>
        <w:jc w:val="both"/>
        <w:rPr>
          <w:rFonts w:ascii="Calibri" w:hAnsi="Calibri" w:cs="Calibri"/>
          <w:b/>
          <w:bCs/>
          <w:i/>
        </w:rPr>
      </w:pPr>
      <w:r w:rsidRPr="00DA522A">
        <w:rPr>
          <w:rFonts w:ascii="Calibri" w:hAnsi="Calibri" w:cs="Calibri"/>
          <w:b/>
          <w:bCs/>
          <w:i/>
        </w:rPr>
        <w:t xml:space="preserve">В случае отсутствия в Требованиях возможности для работодателей компенсировать своим работникам суммы их расходов по прохождению указанных исследований, учитывая, что такие выплаты не поименованы в перечне сумм, не подлежащих обложению страховыми взносами, установленном </w:t>
      </w:r>
      <w:hyperlink r:id="rId38" w:history="1">
        <w:r w:rsidRPr="00DA522A">
          <w:rPr>
            <w:rFonts w:ascii="Calibri" w:hAnsi="Calibri" w:cs="Calibri"/>
            <w:b/>
            <w:bCs/>
            <w:i/>
            <w:color w:val="0000FF"/>
          </w:rPr>
          <w:t>статьей 422</w:t>
        </w:r>
      </w:hyperlink>
      <w:r w:rsidRPr="00DA522A">
        <w:rPr>
          <w:rFonts w:ascii="Calibri" w:hAnsi="Calibri" w:cs="Calibri"/>
          <w:b/>
          <w:bCs/>
          <w:i/>
        </w:rPr>
        <w:t xml:space="preserve"> Кодекса, данные суммы компенсации будут облагаться страховыми взносами в общеустановленном порядке.</w:t>
      </w:r>
    </w:p>
    <w:p w14:paraId="2183FC5C" w14:textId="77777777" w:rsidR="00DA522A" w:rsidRDefault="00DA522A" w:rsidP="00DA522A">
      <w:pPr>
        <w:autoSpaceDE w:val="0"/>
        <w:autoSpaceDN w:val="0"/>
        <w:adjustRightInd w:val="0"/>
        <w:spacing w:after="0" w:line="240" w:lineRule="auto"/>
        <w:rPr>
          <w:rFonts w:ascii="Calibri" w:hAnsi="Calibri" w:cs="Calibri"/>
        </w:rPr>
      </w:pPr>
    </w:p>
    <w:p w14:paraId="5F7513FC" w14:textId="77777777" w:rsidR="00DA522A" w:rsidRDefault="00DA522A" w:rsidP="00DA522A">
      <w:pPr>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14:paraId="298C9E17" w14:textId="77777777" w:rsidR="00DA522A" w:rsidRDefault="00DA522A" w:rsidP="00DA522A">
      <w:pPr>
        <w:autoSpaceDE w:val="0"/>
        <w:autoSpaceDN w:val="0"/>
        <w:adjustRightInd w:val="0"/>
        <w:spacing w:after="0" w:line="240" w:lineRule="auto"/>
        <w:jc w:val="right"/>
        <w:rPr>
          <w:rFonts w:ascii="Calibri" w:hAnsi="Calibri" w:cs="Calibri"/>
        </w:rPr>
      </w:pPr>
      <w:r>
        <w:rPr>
          <w:rFonts w:ascii="Calibri" w:hAnsi="Calibri" w:cs="Calibri"/>
        </w:rPr>
        <w:t>анализа эффективности преференциальных</w:t>
      </w:r>
    </w:p>
    <w:p w14:paraId="12998F48" w14:textId="77777777" w:rsidR="00DA522A" w:rsidRDefault="00DA522A" w:rsidP="00DA522A">
      <w:pPr>
        <w:autoSpaceDE w:val="0"/>
        <w:autoSpaceDN w:val="0"/>
        <w:adjustRightInd w:val="0"/>
        <w:spacing w:after="0" w:line="240" w:lineRule="auto"/>
        <w:jc w:val="right"/>
        <w:rPr>
          <w:rFonts w:ascii="Calibri" w:hAnsi="Calibri" w:cs="Calibri"/>
        </w:rPr>
      </w:pPr>
      <w:r>
        <w:rPr>
          <w:rFonts w:ascii="Calibri" w:hAnsi="Calibri" w:cs="Calibri"/>
        </w:rPr>
        <w:t>налоговых режимов</w:t>
      </w:r>
    </w:p>
    <w:p w14:paraId="281A761B" w14:textId="77777777" w:rsidR="00DA522A" w:rsidRDefault="00DA522A" w:rsidP="00DA522A">
      <w:pPr>
        <w:autoSpaceDE w:val="0"/>
        <w:autoSpaceDN w:val="0"/>
        <w:adjustRightInd w:val="0"/>
        <w:spacing w:after="0" w:line="240" w:lineRule="auto"/>
        <w:jc w:val="right"/>
        <w:rPr>
          <w:rFonts w:ascii="Calibri" w:hAnsi="Calibri" w:cs="Calibri"/>
        </w:rPr>
      </w:pPr>
      <w:r>
        <w:rPr>
          <w:rFonts w:ascii="Calibri" w:hAnsi="Calibri" w:cs="Calibri"/>
        </w:rPr>
        <w:t>А.Т.ЗАИТОВ</w:t>
      </w:r>
    </w:p>
    <w:p w14:paraId="1A319F16" w14:textId="77777777" w:rsidR="00DA522A" w:rsidRDefault="00DA522A" w:rsidP="00DA522A">
      <w:pPr>
        <w:autoSpaceDE w:val="0"/>
        <w:autoSpaceDN w:val="0"/>
        <w:adjustRightInd w:val="0"/>
        <w:spacing w:after="0" w:line="240" w:lineRule="auto"/>
        <w:rPr>
          <w:rFonts w:ascii="Calibri" w:hAnsi="Calibri" w:cs="Calibri"/>
        </w:rPr>
      </w:pPr>
      <w:r>
        <w:rPr>
          <w:rFonts w:ascii="Calibri" w:hAnsi="Calibri" w:cs="Calibri"/>
        </w:rPr>
        <w:t>11.12.2020</w:t>
      </w:r>
    </w:p>
    <w:p w14:paraId="3524A8EB" w14:textId="77777777" w:rsidR="00D43546" w:rsidRDefault="00D43546" w:rsidP="00DA522A">
      <w:pPr>
        <w:rPr>
          <w:rFonts w:ascii="Tahoma" w:hAnsi="Tahoma" w:cs="Tahoma"/>
          <w:sz w:val="20"/>
          <w:szCs w:val="20"/>
        </w:rPr>
      </w:pPr>
    </w:p>
    <w:p w14:paraId="3F5144C1" w14:textId="77777777" w:rsidR="00D43546" w:rsidRDefault="00D43546">
      <w:pPr>
        <w:rPr>
          <w:rFonts w:ascii="Tahoma" w:hAnsi="Tahoma" w:cs="Tahoma"/>
          <w:sz w:val="20"/>
          <w:szCs w:val="20"/>
        </w:rPr>
      </w:pPr>
      <w:r>
        <w:rPr>
          <w:rFonts w:ascii="Tahoma" w:hAnsi="Tahoma" w:cs="Tahoma"/>
          <w:sz w:val="20"/>
          <w:szCs w:val="20"/>
        </w:rPr>
        <w:br w:type="page"/>
      </w:r>
    </w:p>
    <w:p w14:paraId="0F0A94ED" w14:textId="77777777" w:rsidR="00D43546" w:rsidRDefault="00D43546" w:rsidP="00E87D22">
      <w:pPr>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D43546">
        <w:rPr>
          <w:rFonts w:ascii="Tahoma" w:hAnsi="Tahoma" w:cs="Tahoma"/>
          <w:b/>
          <w:bCs/>
          <w:sz w:val="20"/>
          <w:szCs w:val="20"/>
        </w:rPr>
        <w:lastRenderedPageBreak/>
        <w:t>ВОПРОС 11</w:t>
      </w:r>
    </w:p>
    <w:p w14:paraId="02F199A3" w14:textId="77777777" w:rsidR="00D43546" w:rsidRDefault="00D43546" w:rsidP="00E87D22">
      <w:pPr>
        <w:pBdr>
          <w:top w:val="single" w:sz="4" w:space="1" w:color="auto"/>
          <w:left w:val="single" w:sz="4" w:space="4" w:color="auto"/>
          <w:bottom w:val="single" w:sz="4" w:space="1" w:color="auto"/>
          <w:right w:val="single" w:sz="4" w:space="4" w:color="auto"/>
        </w:pBdr>
        <w:spacing w:before="400" w:after="120" w:line="240" w:lineRule="auto"/>
        <w:outlineLvl w:val="0"/>
        <w:rPr>
          <w:rFonts w:eastAsia="Times New Roman" w:cstheme="minorHAnsi"/>
          <w:b/>
          <w:bCs/>
          <w:color w:val="000000"/>
          <w:kern w:val="36"/>
          <w:sz w:val="36"/>
          <w:szCs w:val="36"/>
          <w:lang w:eastAsia="ru-RU"/>
        </w:rPr>
      </w:pPr>
      <w:r w:rsidRPr="00D43546">
        <w:rPr>
          <w:rFonts w:eastAsia="Times New Roman" w:cstheme="minorHAnsi"/>
          <w:b/>
          <w:bCs/>
          <w:color w:val="000000"/>
          <w:kern w:val="36"/>
          <w:sz w:val="36"/>
          <w:szCs w:val="36"/>
          <w:lang w:eastAsia="ru-RU"/>
        </w:rPr>
        <w:t>Марина Львовна В.</w:t>
      </w:r>
    </w:p>
    <w:p w14:paraId="1AAE8ADE" w14:textId="188D61E7" w:rsidR="00D43546" w:rsidRPr="00D43546" w:rsidRDefault="00D43546" w:rsidP="00E87D22">
      <w:pPr>
        <w:pBdr>
          <w:top w:val="single" w:sz="4" w:space="1" w:color="auto"/>
          <w:left w:val="single" w:sz="4" w:space="4" w:color="auto"/>
          <w:bottom w:val="single" w:sz="4" w:space="1" w:color="auto"/>
          <w:right w:val="single" w:sz="4" w:space="4" w:color="auto"/>
        </w:pBdr>
        <w:spacing w:before="400" w:after="120" w:line="240" w:lineRule="auto"/>
        <w:outlineLvl w:val="0"/>
        <w:rPr>
          <w:rFonts w:cstheme="minorHAnsi"/>
          <w:sz w:val="24"/>
          <w:szCs w:val="24"/>
        </w:rPr>
      </w:pPr>
      <w:r w:rsidRPr="00D43546">
        <w:rPr>
          <w:rFonts w:cstheme="minorHAnsi"/>
          <w:color w:val="000000"/>
          <w:sz w:val="24"/>
          <w:szCs w:val="24"/>
        </w:rPr>
        <w:t>Сбербанк пригласил нашу организацию принять участие в акции "Эстафета доброты".</w:t>
      </w:r>
    </w:p>
    <w:p w14:paraId="3512193A" w14:textId="77777777" w:rsidR="00D43546" w:rsidRPr="00D43546" w:rsidRDefault="00D43546" w:rsidP="00E87D2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D43546">
        <w:rPr>
          <w:rFonts w:asciiTheme="minorHAnsi" w:hAnsiTheme="minorHAnsi" w:cstheme="minorHAnsi"/>
          <w:color w:val="000000"/>
        </w:rPr>
        <w:t>В ходе акции Сбербанк делает рассылку информации о нашей организации и собирает для нас средства.</w:t>
      </w:r>
    </w:p>
    <w:p w14:paraId="125E90DA" w14:textId="77777777" w:rsidR="00D43546" w:rsidRPr="00D43546" w:rsidRDefault="00D43546" w:rsidP="00E87D2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D43546">
        <w:rPr>
          <w:rFonts w:asciiTheme="minorHAnsi" w:hAnsiTheme="minorHAnsi" w:cstheme="minorHAnsi"/>
          <w:color w:val="000000"/>
        </w:rPr>
        <w:t>Для сбора средств используется QR-код, который ведет к ссылке на наш счет в Сбербанке. Поступающие средства зачисляются на наш счет с назначением платежа "пожертвование на уставную деятельность организации".</w:t>
      </w:r>
    </w:p>
    <w:p w14:paraId="50E7B94F" w14:textId="77777777" w:rsidR="00D43546" w:rsidRPr="00D43546" w:rsidRDefault="00D43546" w:rsidP="00E87D2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D43546">
        <w:rPr>
          <w:rFonts w:asciiTheme="minorHAnsi" w:hAnsiTheme="minorHAnsi" w:cstheme="minorHAnsi"/>
          <w:color w:val="000000"/>
        </w:rPr>
        <w:t>В ходе акции нам жертвуют деньги не только физлица, но и юрлица, суммы более 3000. Мы видим от кого пришло поступление в случае юрлица.</w:t>
      </w:r>
    </w:p>
    <w:p w14:paraId="64BCFBCA" w14:textId="77777777" w:rsidR="00D43546" w:rsidRPr="00D43546" w:rsidRDefault="00D43546" w:rsidP="00E87D2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D43546">
        <w:rPr>
          <w:rFonts w:asciiTheme="minorHAnsi" w:hAnsiTheme="minorHAnsi" w:cstheme="minorHAnsi"/>
          <w:color w:val="000000"/>
        </w:rPr>
        <w:t>Что делать с договором с юрлицами - надо ли заключать договор о пожертвовании? Можно ли не заключать, а создать какие-то внутренние документы?</w:t>
      </w:r>
    </w:p>
    <w:p w14:paraId="41146A65" w14:textId="77777777" w:rsidR="00D43546" w:rsidRPr="00D43546" w:rsidRDefault="00D43546" w:rsidP="00E87D2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D43546">
        <w:rPr>
          <w:rFonts w:asciiTheme="minorHAnsi" w:hAnsiTheme="minorHAnsi" w:cstheme="minorHAnsi"/>
          <w:color w:val="000000"/>
        </w:rPr>
        <w:t>Что делать, если ни договор, ни внутренние документы невозможны - считать внереализационным доходом?</w:t>
      </w:r>
    </w:p>
    <w:p w14:paraId="7CB0C816" w14:textId="474281C1" w:rsidR="00DA522A" w:rsidRPr="00D43546" w:rsidRDefault="00DA522A" w:rsidP="00E87D22">
      <w:pPr>
        <w:rPr>
          <w:rFonts w:ascii="Tahoma" w:hAnsi="Tahoma" w:cs="Tahoma"/>
          <w:b/>
          <w:bCs/>
          <w:sz w:val="20"/>
          <w:szCs w:val="20"/>
        </w:rPr>
      </w:pPr>
    </w:p>
    <w:p w14:paraId="4F056DBA" w14:textId="6C6D3B4A" w:rsidR="00AE329D" w:rsidRDefault="00AE329D" w:rsidP="00E87D22">
      <w:pPr>
        <w:rPr>
          <w:b/>
          <w:bCs/>
        </w:rPr>
      </w:pPr>
    </w:p>
    <w:p w14:paraId="35886C50" w14:textId="4DAFF83A" w:rsidR="00E87D22" w:rsidRDefault="00E87D22" w:rsidP="00E87D22">
      <w:pPr>
        <w:rPr>
          <w:b/>
          <w:bCs/>
        </w:rPr>
      </w:pPr>
    </w:p>
    <w:p w14:paraId="72D2A7A1" w14:textId="1675AE2C" w:rsidR="00E87D22" w:rsidRDefault="00E87D22">
      <w:pPr>
        <w:rPr>
          <w:b/>
          <w:bCs/>
        </w:rPr>
      </w:pPr>
      <w:r>
        <w:rPr>
          <w:b/>
          <w:bCs/>
        </w:rPr>
        <w:br w:type="page"/>
      </w:r>
    </w:p>
    <w:p w14:paraId="3BA78A01" w14:textId="012AE8E3" w:rsidR="00E87D22" w:rsidRDefault="00E87D22" w:rsidP="00E87D22">
      <w:pPr>
        <w:pBdr>
          <w:top w:val="single" w:sz="4" w:space="1" w:color="auto"/>
          <w:left w:val="single" w:sz="4" w:space="4" w:color="auto"/>
          <w:bottom w:val="single" w:sz="4" w:space="1" w:color="auto"/>
          <w:right w:val="single" w:sz="4" w:space="4" w:color="auto"/>
        </w:pBdr>
        <w:rPr>
          <w:b/>
          <w:bCs/>
        </w:rPr>
      </w:pPr>
      <w:r>
        <w:rPr>
          <w:b/>
          <w:bCs/>
        </w:rPr>
        <w:lastRenderedPageBreak/>
        <w:t>ВОПРОС 14</w:t>
      </w:r>
    </w:p>
    <w:p w14:paraId="6634EB55" w14:textId="08F6CF18" w:rsidR="00E87D22" w:rsidRPr="00E87D22" w:rsidRDefault="00E87D22" w:rsidP="00E87D22">
      <w:pPr>
        <w:pBdr>
          <w:top w:val="single" w:sz="4" w:space="1" w:color="auto"/>
          <w:left w:val="single" w:sz="4" w:space="4" w:color="auto"/>
          <w:bottom w:val="single" w:sz="4" w:space="1" w:color="auto"/>
          <w:right w:val="single" w:sz="4" w:space="4" w:color="auto"/>
        </w:pBdr>
        <w:rPr>
          <w:b/>
          <w:bCs/>
          <w:sz w:val="32"/>
          <w:szCs w:val="32"/>
        </w:rPr>
      </w:pPr>
      <w:r w:rsidRPr="00E87D22">
        <w:rPr>
          <w:b/>
          <w:bCs/>
          <w:sz w:val="32"/>
          <w:szCs w:val="32"/>
        </w:rPr>
        <w:t>Марина Александровна Е.</w:t>
      </w:r>
    </w:p>
    <w:p w14:paraId="14C31FF1" w14:textId="77777777" w:rsidR="00E87D22" w:rsidRPr="003873B2" w:rsidRDefault="00E87D22" w:rsidP="00B26353">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3873B2">
        <w:rPr>
          <w:rFonts w:asciiTheme="minorHAnsi" w:hAnsiTheme="minorHAnsi" w:cstheme="minorHAnsi"/>
          <w:color w:val="000000"/>
        </w:rPr>
        <w:t>Откуда взять деньги на амортизацию, если мы полностью на целевых средствах и у нас нет предпринимательской и приносящей доход деятельности?</w:t>
      </w:r>
    </w:p>
    <w:p w14:paraId="50BFD728" w14:textId="77777777" w:rsidR="00B26353" w:rsidRDefault="00B26353" w:rsidP="00217BA4">
      <w:pPr>
        <w:jc w:val="both"/>
      </w:pPr>
    </w:p>
    <w:p w14:paraId="4AF72D15" w14:textId="4499863E" w:rsidR="00217BA4" w:rsidRPr="00217BA4" w:rsidRDefault="00217BA4" w:rsidP="00217BA4">
      <w:pPr>
        <w:jc w:val="both"/>
      </w:pPr>
      <w:r w:rsidRPr="00217BA4">
        <w:t>Пунктом 2 ст.14 Федерального закона №402-ФЗ от 06.12.11 «О бухгалтерском учете» установлено, что бухгалтерская отчетность некоммерческой организации состоит из бухгалтерского баланса, отчета о целевом использовании средств и приложений к ним.</w:t>
      </w:r>
    </w:p>
    <w:p w14:paraId="30BCD9E6" w14:textId="77777777" w:rsidR="00B26353" w:rsidRDefault="00217BA4" w:rsidP="00217BA4">
      <w:pPr>
        <w:jc w:val="both"/>
      </w:pPr>
      <w:r w:rsidRPr="00217BA4">
        <w:t xml:space="preserve">На </w:t>
      </w:r>
      <w:r>
        <w:t>сегодняшний момент</w:t>
      </w:r>
      <w:r w:rsidRPr="00217BA4">
        <w:t xml:space="preserve"> формы бухгалтерской отчетности некоммерческой организации утверждены приказом Министерства финансов РФ от 02.07.10 №66н. Приложением 6 к форме бухгалтерского баланса, приведенной в вышеуказанном приказе, установлено, что некоммерческая организация именует третий раздел баланса "Целевое финансирование" и включает в него в частности "</w:t>
      </w:r>
      <w:r w:rsidRPr="00AA32F0">
        <w:rPr>
          <w:b/>
          <w:bCs/>
        </w:rPr>
        <w:t>Фонд недвижимого и особо ценного движимого имущества</w:t>
      </w:r>
      <w:r w:rsidRPr="00217BA4">
        <w:t xml:space="preserve">". Кроме того, в форму Отчета о целевом использовании средств включена </w:t>
      </w:r>
      <w:r w:rsidRPr="00B26353">
        <w:rPr>
          <w:b/>
          <w:bCs/>
        </w:rPr>
        <w:t>строка «Приобретение основных средств, инвентаря и иного имущества»</w:t>
      </w:r>
      <w:r w:rsidRPr="00217BA4">
        <w:t xml:space="preserve">, которая предполагает указание расходов на приобретение, но не на амортизацию объектов основных средств. </w:t>
      </w:r>
    </w:p>
    <w:p w14:paraId="078962F6" w14:textId="6AAE032E" w:rsidR="00217BA4" w:rsidRPr="00217BA4" w:rsidRDefault="00217BA4" w:rsidP="00217BA4">
      <w:pPr>
        <w:jc w:val="both"/>
      </w:pPr>
      <w:r w:rsidRPr="00217BA4">
        <w:t>Данная позиция дополнительно раскрыта в п.35 Информации Минфина России (ПЗ-1/2015 от 24.12.15) «Об особенностях формирования бухгалтерской (финансовой) отчетности некоммерческих организаций». Кроме того, п.38 ПЗ-1/2015 указывает, что в Отчете о целевом использовании средств: «Остатки средств по статьям на начало и конец отчетного года должны равняться статье "Целевые средства" соответствующих граф раздела III "Целевое финансирование" бухгалтерского баланса.»</w:t>
      </w:r>
    </w:p>
    <w:p w14:paraId="14E84F3E" w14:textId="77777777" w:rsidR="00B26353" w:rsidRDefault="00217BA4" w:rsidP="00217BA4">
      <w:pPr>
        <w:jc w:val="both"/>
      </w:pPr>
      <w:r w:rsidRPr="00217BA4">
        <w:t xml:space="preserve">Таким образом, в соответствии с разъяснениями Минфина, в Отчет о целевом использовании средств должна, в качестве расхода, </w:t>
      </w:r>
      <w:r w:rsidRPr="00B26353">
        <w:rPr>
          <w:b/>
          <w:bCs/>
        </w:rPr>
        <w:t>включаться полная первоначальная стоимость объектов основных средств</w:t>
      </w:r>
      <w:r w:rsidRPr="00217BA4">
        <w:t xml:space="preserve">, приобретенных в отчетном периоде, что предполагает формирование в отчетном периоде проводки по Дт 86 на величину первоначальной стоимости приобретенных объектов ОС. </w:t>
      </w:r>
    </w:p>
    <w:p w14:paraId="14FB2D37" w14:textId="53DC8A36" w:rsidR="00B26353" w:rsidRDefault="00217BA4" w:rsidP="00217BA4">
      <w:pPr>
        <w:jc w:val="both"/>
      </w:pPr>
      <w:r w:rsidRPr="00217BA4">
        <w:t>Дальнейшее начисление амортизации, предусмотренное ФСБУ</w:t>
      </w:r>
      <w:r w:rsidR="004215B1">
        <w:t xml:space="preserve"> 6/2020</w:t>
      </w:r>
      <w:r w:rsidRPr="00217BA4">
        <w:t xml:space="preserve">, не может признаваться в том же порядке, как это происходит в коммерческих организациях, т.к. это, в силу особенностей бухгалтерского учета в НКО, будет равносильно признанию расхода целевых средств на величину начисленной амортизации и будет означать задвоение расходов и формирование недостоверных показателей в учете и отчетности. </w:t>
      </w:r>
    </w:p>
    <w:p w14:paraId="0CBAFBFA" w14:textId="77777777" w:rsidR="00B26353" w:rsidRDefault="00217BA4" w:rsidP="00217BA4">
      <w:pPr>
        <w:jc w:val="both"/>
      </w:pPr>
      <w:r w:rsidRPr="00217BA4">
        <w:t xml:space="preserve">Таким образом, по совокупности требований законодательства и разъяснений Минфина оптимальным решением является </w:t>
      </w:r>
      <w:r w:rsidRPr="00B26353">
        <w:rPr>
          <w:b/>
          <w:bCs/>
        </w:rPr>
        <w:t>продолжение использования порядка признания объектов основных средств</w:t>
      </w:r>
      <w:r w:rsidRPr="00217BA4">
        <w:t xml:space="preserve">, сформированного в процессе применения ПБУ 6/01, а именно выполнение «отражения источника финансирования» и формирование Фонда недвижимого и особо ценного движимого имущества. </w:t>
      </w:r>
    </w:p>
    <w:p w14:paraId="3CA63329" w14:textId="01CF524B" w:rsidR="00217BA4" w:rsidRPr="00217BA4" w:rsidRDefault="00217BA4" w:rsidP="00217BA4">
      <w:pPr>
        <w:jc w:val="both"/>
      </w:pPr>
      <w:r w:rsidRPr="00217BA4">
        <w:t xml:space="preserve">При этом для выполнения требований ФСБУ </w:t>
      </w:r>
      <w:r w:rsidR="004215B1">
        <w:t xml:space="preserve">6/2020 </w:t>
      </w:r>
      <w:r w:rsidRPr="00217BA4">
        <w:t>по начислению амортизации, последняя должна начисляться в уменьшение сформированного фонда недвижимого и особо ценного движимого имущества и в этом случае не будет увеличивать расход целевых средств отчетного периода.</w:t>
      </w:r>
    </w:p>
    <w:p w14:paraId="43E9B1F1" w14:textId="782BC287" w:rsidR="00217BA4" w:rsidRDefault="00217BA4" w:rsidP="00217BA4">
      <w:pPr>
        <w:jc w:val="both"/>
        <w:rPr>
          <w:b/>
          <w:bCs/>
        </w:rPr>
      </w:pPr>
      <w:r>
        <w:rPr>
          <w:b/>
          <w:bCs/>
        </w:rPr>
        <w:br w:type="page"/>
      </w:r>
    </w:p>
    <w:p w14:paraId="29316814" w14:textId="57ECA0D9" w:rsidR="00E87D22" w:rsidRDefault="00E87D22" w:rsidP="00E87D22">
      <w:pPr>
        <w:pBdr>
          <w:top w:val="single" w:sz="4" w:space="1" w:color="auto"/>
          <w:left w:val="single" w:sz="4" w:space="4" w:color="auto"/>
          <w:bottom w:val="single" w:sz="4" w:space="1" w:color="auto"/>
          <w:right w:val="single" w:sz="4" w:space="4" w:color="auto"/>
        </w:pBdr>
        <w:rPr>
          <w:b/>
          <w:bCs/>
        </w:rPr>
      </w:pPr>
      <w:r>
        <w:rPr>
          <w:b/>
          <w:bCs/>
        </w:rPr>
        <w:lastRenderedPageBreak/>
        <w:t>ВОПРОС 18</w:t>
      </w:r>
    </w:p>
    <w:p w14:paraId="2BE382A5" w14:textId="2E1B83E0" w:rsidR="00E87D22" w:rsidRDefault="00E87D22" w:rsidP="00E87D22">
      <w:pPr>
        <w:pBdr>
          <w:top w:val="single" w:sz="4" w:space="1" w:color="auto"/>
          <w:left w:val="single" w:sz="4" w:space="4" w:color="auto"/>
          <w:bottom w:val="single" w:sz="4" w:space="1" w:color="auto"/>
          <w:right w:val="single" w:sz="4" w:space="4" w:color="auto"/>
        </w:pBdr>
        <w:rPr>
          <w:b/>
          <w:bCs/>
          <w:sz w:val="32"/>
          <w:szCs w:val="32"/>
        </w:rPr>
      </w:pPr>
      <w:r w:rsidRPr="00E87D22">
        <w:rPr>
          <w:b/>
          <w:bCs/>
          <w:sz w:val="32"/>
          <w:szCs w:val="32"/>
        </w:rPr>
        <w:t>Екатерина Игоревна Б.</w:t>
      </w:r>
    </w:p>
    <w:p w14:paraId="709EFACB" w14:textId="6A69F302" w:rsidR="00E87D22" w:rsidRDefault="00E87D22" w:rsidP="00E87D22">
      <w:pPr>
        <w:pBdr>
          <w:top w:val="single" w:sz="4" w:space="1" w:color="auto"/>
          <w:left w:val="single" w:sz="4" w:space="4" w:color="auto"/>
          <w:bottom w:val="single" w:sz="4" w:space="1" w:color="auto"/>
          <w:right w:val="single" w:sz="4" w:space="4" w:color="auto"/>
        </w:pBdr>
        <w:jc w:val="both"/>
      </w:pPr>
      <w:r w:rsidRPr="00E87D22">
        <w:t xml:space="preserve">Некоммерческая организация, применяющая УСН (доходы), оплатила расходные материалы для занятий с подопечными в размере 1000,00 рублей в том числе НДС. Материалы были получены и оприходованы, но в процессе их использования выяснилось, что часть материалов подлежит возврату. Материалы вернули поставщику и на расчётный счёт некоммерческой организации были перечислены денежные средства, в том числе НДС. Причём в платёжном поручении НДС выделен отдельной строкой. Как быть некоммерческой организации: ведь она на УСН и не является плательщиком НДС?  </w:t>
      </w:r>
    </w:p>
    <w:p w14:paraId="74805327" w14:textId="6EB8CE74" w:rsidR="00E87D22" w:rsidRDefault="00E87D22" w:rsidP="00E87D22">
      <w:pPr>
        <w:jc w:val="both"/>
      </w:pPr>
    </w:p>
    <w:p w14:paraId="42D52E74" w14:textId="0763EACA" w:rsidR="00E87D22" w:rsidRDefault="00E87D22" w:rsidP="00E87D22">
      <w:pPr>
        <w:jc w:val="both"/>
      </w:pPr>
    </w:p>
    <w:p w14:paraId="1F330846" w14:textId="03D12473" w:rsidR="00E87D22" w:rsidRDefault="00E87D22">
      <w:r>
        <w:br w:type="page"/>
      </w:r>
    </w:p>
    <w:p w14:paraId="096FFA0A" w14:textId="0CDDF9A3" w:rsidR="00E87D22" w:rsidRDefault="00E87D22" w:rsidP="00E87D22">
      <w:pPr>
        <w:pBdr>
          <w:top w:val="single" w:sz="4" w:space="1" w:color="auto"/>
          <w:left w:val="single" w:sz="4" w:space="4" w:color="auto"/>
          <w:bottom w:val="single" w:sz="4" w:space="1" w:color="auto"/>
          <w:right w:val="single" w:sz="4" w:space="4" w:color="auto"/>
        </w:pBdr>
        <w:jc w:val="both"/>
        <w:rPr>
          <w:b/>
          <w:bCs/>
        </w:rPr>
      </w:pPr>
      <w:r w:rsidRPr="00E87D22">
        <w:rPr>
          <w:b/>
          <w:bCs/>
        </w:rPr>
        <w:lastRenderedPageBreak/>
        <w:t>ВОПРОС 21</w:t>
      </w:r>
    </w:p>
    <w:p w14:paraId="3ABE8CED" w14:textId="7033DCFD" w:rsidR="00E87D22" w:rsidRDefault="00E87D22" w:rsidP="00E87D22">
      <w:pPr>
        <w:pBdr>
          <w:top w:val="single" w:sz="4" w:space="1" w:color="auto"/>
          <w:left w:val="single" w:sz="4" w:space="4" w:color="auto"/>
          <w:bottom w:val="single" w:sz="4" w:space="1" w:color="auto"/>
          <w:right w:val="single" w:sz="4" w:space="4" w:color="auto"/>
        </w:pBdr>
        <w:jc w:val="both"/>
        <w:rPr>
          <w:b/>
          <w:bCs/>
          <w:sz w:val="32"/>
          <w:szCs w:val="32"/>
        </w:rPr>
      </w:pPr>
      <w:r w:rsidRPr="00E87D22">
        <w:rPr>
          <w:b/>
          <w:bCs/>
          <w:sz w:val="32"/>
          <w:szCs w:val="32"/>
        </w:rPr>
        <w:t>Елена Ивановна З.</w:t>
      </w:r>
    </w:p>
    <w:p w14:paraId="0B17BDF2" w14:textId="77777777" w:rsidR="00E87D22" w:rsidRPr="00E87D22" w:rsidRDefault="00E87D22" w:rsidP="00E87D22">
      <w:pPr>
        <w:pBdr>
          <w:top w:val="single" w:sz="4" w:space="1" w:color="auto"/>
          <w:left w:val="single" w:sz="4" w:space="4" w:color="auto"/>
          <w:bottom w:val="single" w:sz="4" w:space="1" w:color="auto"/>
          <w:right w:val="single" w:sz="4" w:space="4" w:color="auto"/>
        </w:pBdr>
        <w:jc w:val="both"/>
      </w:pPr>
      <w:r w:rsidRPr="00E87D22">
        <w:t>У меня есть вопросы по командировкам:</w:t>
      </w:r>
    </w:p>
    <w:p w14:paraId="28DE93BB" w14:textId="77777777" w:rsidR="00E87D22" w:rsidRPr="00E87D22" w:rsidRDefault="00E87D22" w:rsidP="00E87D22">
      <w:pPr>
        <w:pBdr>
          <w:top w:val="single" w:sz="4" w:space="1" w:color="auto"/>
          <w:left w:val="single" w:sz="4" w:space="4" w:color="auto"/>
          <w:bottom w:val="single" w:sz="4" w:space="1" w:color="auto"/>
          <w:right w:val="single" w:sz="4" w:space="4" w:color="auto"/>
        </w:pBdr>
        <w:jc w:val="both"/>
      </w:pPr>
      <w:r w:rsidRPr="00E87D22">
        <w:t>1.Облагается ли НДФЛ, страховыми взносами и взносами на страхование от несчастных случаев:</w:t>
      </w:r>
    </w:p>
    <w:p w14:paraId="7DD623DA" w14:textId="1940092A" w:rsidR="00E87D22" w:rsidRPr="00E87D22" w:rsidRDefault="00E87D22" w:rsidP="00E87D22">
      <w:pPr>
        <w:pBdr>
          <w:top w:val="single" w:sz="4" w:space="1" w:color="auto"/>
          <w:left w:val="single" w:sz="4" w:space="4" w:color="auto"/>
          <w:bottom w:val="single" w:sz="4" w:space="1" w:color="auto"/>
          <w:right w:val="single" w:sz="4" w:space="4" w:color="auto"/>
        </w:pBdr>
        <w:jc w:val="both"/>
      </w:pPr>
      <w:r w:rsidRPr="00E87D22">
        <w:t>1) Сервисные услуги</w:t>
      </w:r>
      <w:r>
        <w:t>,</w:t>
      </w:r>
      <w:r w:rsidRPr="00E87D22">
        <w:t xml:space="preserve"> предоставляемые в вагонах повышенной комфортности (В чеке выделен пункт "Сервис" и указана его стоимость, которая включена в стоимость билета).</w:t>
      </w:r>
    </w:p>
    <w:p w14:paraId="1B2A67DF" w14:textId="77777777" w:rsidR="00E87D22" w:rsidRPr="00E87D22" w:rsidRDefault="00E87D22" w:rsidP="00E87D22">
      <w:pPr>
        <w:pBdr>
          <w:top w:val="single" w:sz="4" w:space="1" w:color="auto"/>
          <w:left w:val="single" w:sz="4" w:space="4" w:color="auto"/>
          <w:bottom w:val="single" w:sz="4" w:space="1" w:color="auto"/>
          <w:right w:val="single" w:sz="4" w:space="4" w:color="auto"/>
        </w:pBdr>
        <w:jc w:val="both"/>
      </w:pPr>
      <w:r w:rsidRPr="00E87D22">
        <w:t>2) Добровольное страхование пассажиров на транспорте (Полис страхования указан в чеке на билет, но стоимость его не входит в стоимость билета).</w:t>
      </w:r>
    </w:p>
    <w:p w14:paraId="44DF8B49" w14:textId="77777777" w:rsidR="00E87D22" w:rsidRPr="00E87D22" w:rsidRDefault="00E87D22" w:rsidP="00E87D22">
      <w:pPr>
        <w:pBdr>
          <w:top w:val="single" w:sz="4" w:space="1" w:color="auto"/>
          <w:left w:val="single" w:sz="4" w:space="4" w:color="auto"/>
          <w:bottom w:val="single" w:sz="4" w:space="1" w:color="auto"/>
          <w:right w:val="single" w:sz="4" w:space="4" w:color="auto"/>
        </w:pBdr>
        <w:jc w:val="both"/>
      </w:pPr>
      <w:r w:rsidRPr="00E87D22">
        <w:t>3) Стоимость оплаты проезда на такси в командировке в аэропорт, на вокзал и оттуда в место назначения.</w:t>
      </w:r>
    </w:p>
    <w:p w14:paraId="10B1C615" w14:textId="48AC3DD0" w:rsidR="00E87D22" w:rsidRDefault="00E87D22" w:rsidP="00E87D22">
      <w:pPr>
        <w:pBdr>
          <w:top w:val="single" w:sz="4" w:space="1" w:color="auto"/>
          <w:left w:val="single" w:sz="4" w:space="4" w:color="auto"/>
          <w:bottom w:val="single" w:sz="4" w:space="1" w:color="auto"/>
          <w:right w:val="single" w:sz="4" w:space="4" w:color="auto"/>
        </w:pBdr>
        <w:jc w:val="both"/>
      </w:pPr>
      <w:r w:rsidRPr="00E87D22">
        <w:t>2. Какими документами Налоговой службы нужно руководствоваться при принятии решений по указанным выше вопросам?</w:t>
      </w:r>
    </w:p>
    <w:p w14:paraId="12CC3F30" w14:textId="40A0DA1F" w:rsidR="00E87D22" w:rsidRDefault="00E87D22" w:rsidP="00E87D22">
      <w:pPr>
        <w:jc w:val="both"/>
      </w:pPr>
    </w:p>
    <w:p w14:paraId="09EDF420" w14:textId="6BF00698" w:rsidR="00AB4D8C" w:rsidRPr="00AB4D8C" w:rsidRDefault="00AB4D8C" w:rsidP="00AB4D8C">
      <w:pPr>
        <w:jc w:val="center"/>
        <w:rPr>
          <w:b/>
          <w:bCs/>
        </w:rPr>
      </w:pPr>
      <w:r w:rsidRPr="00AB4D8C">
        <w:rPr>
          <w:b/>
          <w:bCs/>
        </w:rPr>
        <w:t>Письмо Департамента налоговой и таможенной политики от 16.06.2017г. № 03-03-РЗ/37488 "О порядке учета для целей налогообложения прибыли организаций стоимости дополнительных сервисных услуг, оказываемых перевозчиками, при оплате проездных билетов".</w:t>
      </w:r>
    </w:p>
    <w:p w14:paraId="08BB17A4" w14:textId="77777777" w:rsidR="00AB4D8C" w:rsidRDefault="00AB4D8C" w:rsidP="00AB4D8C">
      <w:pPr>
        <w:jc w:val="both"/>
      </w:pPr>
    </w:p>
    <w:p w14:paraId="0C86A1E8" w14:textId="77777777" w:rsidR="00AB4D8C" w:rsidRDefault="00AB4D8C" w:rsidP="00AB4D8C">
      <w:pPr>
        <w:jc w:val="both"/>
      </w:pPr>
      <w:r>
        <w:t>Департамент налоговой и таможенной политики рассмотрел письмо по вопросам налогообложения стоимости дополнительных сервисных услуг, оказываемых перевозчиками, при оплате проездных билетов и сообщает следующее.</w:t>
      </w:r>
    </w:p>
    <w:p w14:paraId="23FE0505" w14:textId="77777777" w:rsidR="00AB4D8C" w:rsidRDefault="00AB4D8C" w:rsidP="00AB4D8C">
      <w:pPr>
        <w:jc w:val="both"/>
      </w:pPr>
      <w:r>
        <w:t>В соответствии со статьей 3 Федерального закона от 10.01.2003г. № 18-ФЗ «Устав железнодорожного транспорта Российской Федерации» постановлением Правительства Российской Федерации от 02.03.2005г.  № 111 утверждены 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на основании пункта 33 которых в поезде дальнего следования, имеющем в составе вагоны повышенной комфортности, пассажиру предоставляется платное сервисное обслуживание, стоимость которого включается в стоимость проезда.</w:t>
      </w:r>
    </w:p>
    <w:p w14:paraId="63134C15" w14:textId="77777777" w:rsidR="00AB4D8C" w:rsidRDefault="00AB4D8C" w:rsidP="00AB4D8C">
      <w:pPr>
        <w:jc w:val="both"/>
      </w:pPr>
      <w:proofErr w:type="gramStart"/>
      <w:r>
        <w:t>Согласно данной норме</w:t>
      </w:r>
      <w:proofErr w:type="gramEnd"/>
      <w:r>
        <w:t xml:space="preserve"> порядок предоставления пассажирам комплекса услуг, стоимость которых включается в стоимость проезда в вагонах повышенной комфортности, устанавливается Минтрансом России, а состав комплекса услуг определяется перевозчиком.</w:t>
      </w:r>
    </w:p>
    <w:p w14:paraId="765AB577" w14:textId="77777777" w:rsidR="00AB4D8C" w:rsidRDefault="00AB4D8C" w:rsidP="00AB4D8C">
      <w:pPr>
        <w:jc w:val="both"/>
      </w:pPr>
      <w:r>
        <w:t>В соответствии с пунктом 3 Порядка предоставления пассажирам комплекса услуг, стоимость которых включается в стоимость проезда в вагонах повышенной комфортности, утвержденного Приказом Минтранса России от 09.07.2007г.  № 89, при приобретении проездного документа (билета) пассажиром оплачивается стоимость проезда, в состав которой включается стоимость услуг, оказываемых в вагонах повышенной комфортности.</w:t>
      </w:r>
    </w:p>
    <w:p w14:paraId="10F08F65" w14:textId="77777777" w:rsidR="00AB4D8C" w:rsidRDefault="00AB4D8C" w:rsidP="00AB4D8C">
      <w:pPr>
        <w:jc w:val="both"/>
      </w:pPr>
    </w:p>
    <w:p w14:paraId="77B9BE39" w14:textId="77777777" w:rsidR="00AB4D8C" w:rsidRDefault="00AB4D8C" w:rsidP="00AB4D8C">
      <w:pPr>
        <w:jc w:val="both"/>
      </w:pPr>
      <w:r w:rsidRPr="00264882">
        <w:rPr>
          <w:b/>
          <w:bCs/>
        </w:rPr>
        <w:t>По вопросу обложения налогом на доходы физических лиц сумм оплаты организацией командированным сотрудникам стоимости сервисных услуг, предоставляемых в вагонах повышенной комфортности, сообщаем</w:t>
      </w:r>
      <w:r>
        <w:t>.</w:t>
      </w:r>
    </w:p>
    <w:p w14:paraId="2BC39B2D" w14:textId="77777777" w:rsidR="00AB4D8C" w:rsidRDefault="00AB4D8C" w:rsidP="00AB4D8C">
      <w:pPr>
        <w:jc w:val="both"/>
      </w:pPr>
      <w:r>
        <w:lastRenderedPageBreak/>
        <w:t>Пунктом 3 статьи 217 Кодекса предусмотрено, что к освобождаемым от налогообложения доходам относятся все виды установленных действующим законодательством Российской Федерации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 (включая возмещение командировочных расходов).</w:t>
      </w:r>
    </w:p>
    <w:p w14:paraId="0A24DA9A" w14:textId="77777777" w:rsidR="00AB4D8C" w:rsidRDefault="00AB4D8C" w:rsidP="00AB4D8C">
      <w:pPr>
        <w:jc w:val="both"/>
      </w:pPr>
      <w:r>
        <w:t>В абзаце двенадцатом данного пункта дополнительно указано, что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пределах норм, установленных в соответствии с действующим законодательством,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w:t>
      </w:r>
    </w:p>
    <w:p w14:paraId="42E303D6" w14:textId="77777777" w:rsidR="00AB4D8C" w:rsidRDefault="00AB4D8C" w:rsidP="00AB4D8C">
      <w:pPr>
        <w:jc w:val="both"/>
      </w:pPr>
      <w:r>
        <w:t>Таким образом, суммы оплаты работодателем командированным сотрудникам стоимости проезда в вагонах повышенной комфортности с включенной в нее стоимостью сервисных услуг, предоставляемых в таких вагонах, освобождаются от обложения налогом на доходы физических лиц на основании указанной нормы Кодекса.</w:t>
      </w:r>
    </w:p>
    <w:p w14:paraId="2B8ABF71" w14:textId="77777777" w:rsidR="00264882" w:rsidRDefault="00264882" w:rsidP="00AB4D8C">
      <w:pPr>
        <w:jc w:val="both"/>
        <w:rPr>
          <w:b/>
          <w:bCs/>
        </w:rPr>
      </w:pPr>
    </w:p>
    <w:p w14:paraId="7FFE9D78" w14:textId="713C2600" w:rsidR="00AB4D8C" w:rsidRPr="00AB4D8C" w:rsidRDefault="00AB4D8C" w:rsidP="00AB4D8C">
      <w:pPr>
        <w:jc w:val="both"/>
        <w:rPr>
          <w:b/>
          <w:bCs/>
        </w:rPr>
      </w:pPr>
      <w:r w:rsidRPr="00AB4D8C">
        <w:rPr>
          <w:b/>
          <w:bCs/>
        </w:rPr>
        <w:t>По вопросу учета для целей налогообложения прибыли организаций стоимости дополнительных сервисных услуг, включенных в стоимость проездного документа, сообщаем следующее.</w:t>
      </w:r>
    </w:p>
    <w:p w14:paraId="65EC06E4" w14:textId="77777777" w:rsidR="00AB4D8C" w:rsidRDefault="00AB4D8C" w:rsidP="00AB4D8C">
      <w:pPr>
        <w:jc w:val="both"/>
      </w:pPr>
      <w:r>
        <w:t xml:space="preserve"> На основании пункта 1 статьи 252 Налогового кодекса Российской Федерации (далее - Кодекс) в целях налогообложения прибыли организаций расходами признаются </w:t>
      </w:r>
      <w:r w:rsidRPr="00AB4D8C">
        <w:rPr>
          <w:b/>
          <w:bCs/>
        </w:rPr>
        <w:t>экономически оправданные и документально подтвержденные затраты</w:t>
      </w:r>
      <w:r>
        <w:t>, произведенные для осуществления деятельности, направленной на получение дохода. Расходы, не соответствующие указанным требованиям, согласно пункту 49 статьи 270 Кодекса, в целях налогообложения прибыли организаций не учитываются.</w:t>
      </w:r>
    </w:p>
    <w:p w14:paraId="2AD1543D" w14:textId="77777777" w:rsidR="00AB4D8C" w:rsidRDefault="00AB4D8C" w:rsidP="00AB4D8C">
      <w:pPr>
        <w:jc w:val="both"/>
      </w:pPr>
      <w:r>
        <w:t>Согласно подпункту 12 пункта 1 статьи 264 Кодекса к прочим расходам, связанным с производством и реализацией, относятся расходы на командировки, в частности на проезд работника к месту командировки и обратно к месту постоянной работы.</w:t>
      </w:r>
    </w:p>
    <w:p w14:paraId="3B9961DB" w14:textId="77777777" w:rsidR="00AB4D8C" w:rsidRDefault="00AB4D8C" w:rsidP="00AB4D8C">
      <w:pPr>
        <w:jc w:val="both"/>
      </w:pPr>
      <w:r>
        <w:t>При этом перевозчики для проезда в вагонах повышенной комфортности в стоимость железнодорожных билетов включают стоимость дополнительных сервисных услуг (набор питания, предметы первой необходимости и гигиены, включая постельные принадлежности, печатная продукция).</w:t>
      </w:r>
    </w:p>
    <w:p w14:paraId="064BE328" w14:textId="77777777" w:rsidR="00AB4D8C" w:rsidRPr="00AB4D8C" w:rsidRDefault="00AB4D8C" w:rsidP="00AB4D8C">
      <w:pPr>
        <w:jc w:val="both"/>
        <w:rPr>
          <w:i/>
          <w:iCs/>
        </w:rPr>
      </w:pPr>
      <w:r w:rsidRPr="00AB4D8C">
        <w:rPr>
          <w:i/>
          <w:iCs/>
        </w:rPr>
        <w:t>Поскольку стоимость дополнительных сервисных услуг формирует единую стоимость услуги по проезду по железной дороге, по мнению Департамента, для целей налогообложения прибыли организаций стоимость железнодорожного билета может быть учтена полностью, включая стоимость дополнительных сервисных услуг.</w:t>
      </w:r>
    </w:p>
    <w:p w14:paraId="28562BC8" w14:textId="77777777" w:rsidR="00AB4D8C" w:rsidRDefault="00AB4D8C" w:rsidP="00AB4D8C">
      <w:pPr>
        <w:jc w:val="both"/>
      </w:pPr>
    </w:p>
    <w:p w14:paraId="0CDA5E9E" w14:textId="77777777" w:rsidR="00AB4D8C" w:rsidRDefault="00AB4D8C" w:rsidP="00AB4D8C">
      <w:pPr>
        <w:jc w:val="both"/>
      </w:pPr>
      <w:r>
        <w:t>В части принятия к вычету сумм налога на добавленную стоимость, выделенных отдельной строкой в железнодорожном билете, предъявленных в отношении дополнительных сборов и сервисных услуг, в стоимость которых включена плата за пользование постельными принадлежностями и услуги по предоставлению питания, сообщаем следующее.</w:t>
      </w:r>
    </w:p>
    <w:p w14:paraId="306C8766" w14:textId="77777777" w:rsidR="00AB4D8C" w:rsidRDefault="00AB4D8C" w:rsidP="00AB4D8C">
      <w:pPr>
        <w:jc w:val="both"/>
      </w:pPr>
      <w:r>
        <w:lastRenderedPageBreak/>
        <w:t>В соответствии с пунктом 7 статьи 171 Кодекса вычетам подлежат суммы налога, уплаченные по расходам на командировки (расходам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принимаемым к вычету при исчислении налога на прибыль организаций. При этом вычеты сумм налога на добавленную стоимость, предъявленных в отношении услуг по предоставлению питания, данным пунктом Кодекса не предусмотрены.</w:t>
      </w:r>
    </w:p>
    <w:p w14:paraId="4E933024" w14:textId="77777777" w:rsidR="00AB4D8C" w:rsidRDefault="00AB4D8C" w:rsidP="00AB4D8C">
      <w:pPr>
        <w:jc w:val="both"/>
      </w:pPr>
      <w:r>
        <w:t>Таким образом, сумма налога на добавленную стоимость, предъявленная в отношении дополнительных сборов и сервисных услуг в случае, если стоимость этих сборов и услуг сформирована с учетом стоимости услуг по предоставлению питания, вычету не подлежит.</w:t>
      </w:r>
    </w:p>
    <w:p w14:paraId="7FAAB7FB" w14:textId="77777777" w:rsidR="00AB4D8C" w:rsidRDefault="00AB4D8C" w:rsidP="00AB4D8C">
      <w:pPr>
        <w:jc w:val="both"/>
      </w:pPr>
    </w:p>
    <w:p w14:paraId="53610F65" w14:textId="77777777" w:rsidR="00AB4D8C" w:rsidRDefault="00AB4D8C" w:rsidP="00AB4D8C">
      <w:pPr>
        <w:jc w:val="both"/>
      </w:pPr>
    </w:p>
    <w:p w14:paraId="4D986F3B" w14:textId="77777777" w:rsidR="00AB4D8C" w:rsidRDefault="00AB4D8C" w:rsidP="00AB4D8C">
      <w:pPr>
        <w:jc w:val="both"/>
      </w:pPr>
      <w:r>
        <w:t>Директор Департамента                                                                        А.В. Сазанов</w:t>
      </w:r>
    </w:p>
    <w:p w14:paraId="75DCAE40" w14:textId="77777777" w:rsidR="00E87D22" w:rsidRPr="00E87D22" w:rsidRDefault="00E87D22" w:rsidP="00E87D22">
      <w:pPr>
        <w:jc w:val="both"/>
      </w:pPr>
    </w:p>
    <w:sectPr w:rsidR="00E87D22" w:rsidRPr="00E8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3C"/>
    <w:rsid w:val="000D3A3C"/>
    <w:rsid w:val="0015585A"/>
    <w:rsid w:val="00217BA4"/>
    <w:rsid w:val="00264882"/>
    <w:rsid w:val="003873B2"/>
    <w:rsid w:val="003F2691"/>
    <w:rsid w:val="004215B1"/>
    <w:rsid w:val="006F5A50"/>
    <w:rsid w:val="00A40146"/>
    <w:rsid w:val="00A602EF"/>
    <w:rsid w:val="00A6791F"/>
    <w:rsid w:val="00AA32F0"/>
    <w:rsid w:val="00AB4D8C"/>
    <w:rsid w:val="00AE329D"/>
    <w:rsid w:val="00B101BA"/>
    <w:rsid w:val="00B26353"/>
    <w:rsid w:val="00D43546"/>
    <w:rsid w:val="00DA522A"/>
    <w:rsid w:val="00E33CC2"/>
    <w:rsid w:val="00E87D22"/>
    <w:rsid w:val="00F24921"/>
    <w:rsid w:val="00F9784C"/>
    <w:rsid w:val="00FE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CC8C"/>
  <w15:chartTrackingRefBased/>
  <w15:docId w15:val="{B9EA40F4-D3BE-4856-B0A4-C87F2B55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1636">
      <w:bodyDiv w:val="1"/>
      <w:marLeft w:val="0"/>
      <w:marRight w:val="0"/>
      <w:marTop w:val="0"/>
      <w:marBottom w:val="0"/>
      <w:divBdr>
        <w:top w:val="none" w:sz="0" w:space="0" w:color="auto"/>
        <w:left w:val="none" w:sz="0" w:space="0" w:color="auto"/>
        <w:bottom w:val="none" w:sz="0" w:space="0" w:color="auto"/>
        <w:right w:val="none" w:sz="0" w:space="0" w:color="auto"/>
      </w:divBdr>
    </w:div>
    <w:div w:id="296572181">
      <w:bodyDiv w:val="1"/>
      <w:marLeft w:val="0"/>
      <w:marRight w:val="0"/>
      <w:marTop w:val="0"/>
      <w:marBottom w:val="0"/>
      <w:divBdr>
        <w:top w:val="none" w:sz="0" w:space="0" w:color="auto"/>
        <w:left w:val="none" w:sz="0" w:space="0" w:color="auto"/>
        <w:bottom w:val="none" w:sz="0" w:space="0" w:color="auto"/>
        <w:right w:val="none" w:sz="0" w:space="0" w:color="auto"/>
      </w:divBdr>
    </w:div>
    <w:div w:id="674841825">
      <w:bodyDiv w:val="1"/>
      <w:marLeft w:val="0"/>
      <w:marRight w:val="0"/>
      <w:marTop w:val="0"/>
      <w:marBottom w:val="0"/>
      <w:divBdr>
        <w:top w:val="none" w:sz="0" w:space="0" w:color="auto"/>
        <w:left w:val="none" w:sz="0" w:space="0" w:color="auto"/>
        <w:bottom w:val="none" w:sz="0" w:space="0" w:color="auto"/>
        <w:right w:val="none" w:sz="0" w:space="0" w:color="auto"/>
      </w:divBdr>
    </w:div>
    <w:div w:id="890844151">
      <w:bodyDiv w:val="1"/>
      <w:marLeft w:val="0"/>
      <w:marRight w:val="0"/>
      <w:marTop w:val="0"/>
      <w:marBottom w:val="0"/>
      <w:divBdr>
        <w:top w:val="none" w:sz="0" w:space="0" w:color="auto"/>
        <w:left w:val="none" w:sz="0" w:space="0" w:color="auto"/>
        <w:bottom w:val="none" w:sz="0" w:space="0" w:color="auto"/>
        <w:right w:val="none" w:sz="0" w:space="0" w:color="auto"/>
      </w:divBdr>
    </w:div>
    <w:div w:id="912085948">
      <w:bodyDiv w:val="1"/>
      <w:marLeft w:val="0"/>
      <w:marRight w:val="0"/>
      <w:marTop w:val="0"/>
      <w:marBottom w:val="0"/>
      <w:divBdr>
        <w:top w:val="none" w:sz="0" w:space="0" w:color="auto"/>
        <w:left w:val="none" w:sz="0" w:space="0" w:color="auto"/>
        <w:bottom w:val="none" w:sz="0" w:space="0" w:color="auto"/>
        <w:right w:val="none" w:sz="0" w:space="0" w:color="auto"/>
      </w:divBdr>
    </w:div>
    <w:div w:id="1262836157">
      <w:bodyDiv w:val="1"/>
      <w:marLeft w:val="0"/>
      <w:marRight w:val="0"/>
      <w:marTop w:val="0"/>
      <w:marBottom w:val="0"/>
      <w:divBdr>
        <w:top w:val="none" w:sz="0" w:space="0" w:color="auto"/>
        <w:left w:val="none" w:sz="0" w:space="0" w:color="auto"/>
        <w:bottom w:val="none" w:sz="0" w:space="0" w:color="auto"/>
        <w:right w:val="none" w:sz="0" w:space="0" w:color="auto"/>
      </w:divBdr>
    </w:div>
    <w:div w:id="16734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A321BB6BFC87005DA92B0A2B9B6756AB95EAC23317DBD3E19B0B61552E17FE485E2FAFF069027F6F76E1200C585390035E035F3355360015B7K8H" TargetMode="External"/><Relationship Id="rId18" Type="http://schemas.openxmlformats.org/officeDocument/2006/relationships/hyperlink" Target="consultantplus://offline/ref=CFA321BB6BFC87005DA92B0A2B9B6756AB95E9CD3410DAD3E19B0B61552E17FE485E2FAFF36A08773D2FAE21501C0E830351035D3449B3K5H" TargetMode="External"/><Relationship Id="rId26" Type="http://schemas.openxmlformats.org/officeDocument/2006/relationships/hyperlink" Target="consultantplus://offline/ref=CFA321BB6BFC87005DA92B0A2B9B6756AB95EAC23317DBD3E19B0B61552E17FE485E2FAFF06A047C6A75BE2519490B9D0B481D582A493402B1K6H" TargetMode="External"/><Relationship Id="rId39" Type="http://schemas.openxmlformats.org/officeDocument/2006/relationships/fontTable" Target="fontTable.xml"/><Relationship Id="rId21" Type="http://schemas.openxmlformats.org/officeDocument/2006/relationships/hyperlink" Target="consultantplus://offline/ref=CFA321BB6BFC87005DA92B0A2B9B6756AB95EAC23317DBD3E19B0B61552E17FE485E2FAFF069017D6879E1200C585390035E035F3355360015B7K8H" TargetMode="External"/><Relationship Id="rId34" Type="http://schemas.openxmlformats.org/officeDocument/2006/relationships/hyperlink" Target="consultantplus://offline/ref=CFA321BB6BFC87005DA92B0A2B9B6756AB95EBCA3611DED3E19B0B61552E17FE485E2FAFF36905773D2FAE21501C0E830351035D3449B3K5H" TargetMode="External"/><Relationship Id="rId7" Type="http://schemas.openxmlformats.org/officeDocument/2006/relationships/hyperlink" Target="https://e.mail.ru/inbox/0:16321480292045009076:0/" TargetMode="External"/><Relationship Id="rId12" Type="http://schemas.openxmlformats.org/officeDocument/2006/relationships/hyperlink" Target="consultantplus://offline/ref=CFA321BB6BFC87005DA92B0A2B9B6756AB95EAC23317DBD3E19B0B61552E17FE485E2FAFF06901756C7AE1200C585390035E035F3355360015B7K8H" TargetMode="External"/><Relationship Id="rId17" Type="http://schemas.openxmlformats.org/officeDocument/2006/relationships/hyperlink" Target="consultantplus://offline/ref=CFA321BB6BFC87005DA92B0A2B9B6756AB95EACD3614DCD3E19B0B61552E17FE485E2FAFF96C00773D2FAE21501C0E830351035D3449B3K5H" TargetMode="External"/><Relationship Id="rId25" Type="http://schemas.openxmlformats.org/officeDocument/2006/relationships/hyperlink" Target="consultantplus://offline/ref=CFA321BB6BFC87005DA92B0A2B9B6756AB95EAC23317DBD3E19B0B61552E17FE485E2FAFF06D007C6875BE2519490B9D0B481D582A493402B1K6H" TargetMode="External"/><Relationship Id="rId33" Type="http://schemas.openxmlformats.org/officeDocument/2006/relationships/hyperlink" Target="consultantplus://offline/ref=CFA321BB6BFC87005DA92B0A2B9B6756AB95E8C33615D9D3E19B0B61552E17FE485E2FAFF069007C697BE1200C585390035E035F3355360015B7K8H" TargetMode="External"/><Relationship Id="rId38" Type="http://schemas.openxmlformats.org/officeDocument/2006/relationships/hyperlink" Target="consultantplus://offline/ref=CFA321BB6BFC87005DA92B0A2B9B6756AB95EAC23317DBD3E19B0B61552E17FE485E2FAFF06A047F6975BE2519490B9D0B481D582A493402B1K6H" TargetMode="External"/><Relationship Id="rId2" Type="http://schemas.openxmlformats.org/officeDocument/2006/relationships/settings" Target="settings.xml"/><Relationship Id="rId16" Type="http://schemas.openxmlformats.org/officeDocument/2006/relationships/hyperlink" Target="consultantplus://offline/ref=CFA321BB6BFC87005DA92B0A2B9B6756AB95EAC23317DBD3E19B0B61552E17FE485E2FAFF061067A6175BE2519490B9D0B481D582A493402B1K6H" TargetMode="External"/><Relationship Id="rId20" Type="http://schemas.openxmlformats.org/officeDocument/2006/relationships/hyperlink" Target="consultantplus://offline/ref=CFA321BB6BFC87005DA92B0A2B9B6756AB95EAC23317DBD3E19B0B61552E17FE485E2FAFF061067A6175BE2519490B9D0B481D582A493402B1K6H" TargetMode="External"/><Relationship Id="rId29" Type="http://schemas.openxmlformats.org/officeDocument/2006/relationships/hyperlink" Target="consultantplus://offline/ref=CFA321BB6BFC87005DA92B0A2B9B6756AB95EAC23317DBD3E19B0B61552E17FE485E2FAFF06E057A6F75BE2519490B9D0B481D582A493402B1K6H" TargetMode="External"/><Relationship Id="rId1" Type="http://schemas.openxmlformats.org/officeDocument/2006/relationships/styles" Target="styles.xml"/><Relationship Id="rId6" Type="http://schemas.openxmlformats.org/officeDocument/2006/relationships/hyperlink" Target="http://its.1c.ru/db/garant" TargetMode="External"/><Relationship Id="rId11" Type="http://schemas.openxmlformats.org/officeDocument/2006/relationships/hyperlink" Target="https://e.mail.ru/inbox/0:16321480292045009076:0/" TargetMode="External"/><Relationship Id="rId24" Type="http://schemas.openxmlformats.org/officeDocument/2006/relationships/hyperlink" Target="consultantplus://offline/ref=CFA321BB6BFC87005DA92B0A2B9B6756AB95EAC23317DBD3E19B0B61552E17FE485E2FAFF06A03756A75BE2519490B9D0B481D582A493402B1K6H" TargetMode="External"/><Relationship Id="rId32" Type="http://schemas.openxmlformats.org/officeDocument/2006/relationships/hyperlink" Target="consultantplus://offline/ref=CFA321BB6BFC87005DA92B0A2B9B6756AB95EBCA3611DED3E19B0B61552E17FE485E2FAFF069007E6C7AE1200C585390035E035F3355360015B7K8H" TargetMode="External"/><Relationship Id="rId37" Type="http://schemas.openxmlformats.org/officeDocument/2006/relationships/hyperlink" Target="consultantplus://offline/ref=CFA321BB6BFC87005DA92B0A2B9B6756AB95EAC23317DBD3E19B0B61552E17FE485E2FAFF06E057A6F75BE2519490B9D0B481D582A493402B1K6H" TargetMode="External"/><Relationship Id="rId40" Type="http://schemas.openxmlformats.org/officeDocument/2006/relationships/theme" Target="theme/theme1.xml"/><Relationship Id="rId5" Type="http://schemas.openxmlformats.org/officeDocument/2006/relationships/hyperlink" Target="http://its.1c.ru/db/garant" TargetMode="External"/><Relationship Id="rId15" Type="http://schemas.openxmlformats.org/officeDocument/2006/relationships/hyperlink" Target="consultantplus://offline/ref=CFA321BB6BFC87005DA92B0A2B9B6756AB95EAC23317DBD3E19B0B61552E17FE485E2FAFF06901756C76E1200C585390035E035F3355360015B7K8H" TargetMode="External"/><Relationship Id="rId23" Type="http://schemas.openxmlformats.org/officeDocument/2006/relationships/hyperlink" Target="consultantplus://offline/ref=CFA321BB6BFC87005DA92B0A2B9B6756AB95EAC23317DBD3E19B0B61552E17FE485E2FAFF069017C6F77E1200C585390035E035F3355360015B7K8H" TargetMode="External"/><Relationship Id="rId28" Type="http://schemas.openxmlformats.org/officeDocument/2006/relationships/hyperlink" Target="consultantplus://offline/ref=CFA321BB6BFC87005DA92B0A2B9B6756AB95EAC23317DBD3E19B0B61552E17FE485E2FAFF06A047F6975BE2519490B9D0B481D582A493402B1K6H" TargetMode="External"/><Relationship Id="rId36" Type="http://schemas.openxmlformats.org/officeDocument/2006/relationships/hyperlink" Target="consultantplus://offline/ref=CFA321BB6BFC87005DA92209299F6756AB94ECCC3313DCD3E19B0B61552E17FE485E2FAFF069037D6B7AE1200C585390035E035F3355360015B7K8H" TargetMode="External"/><Relationship Id="rId10" Type="http://schemas.openxmlformats.org/officeDocument/2006/relationships/hyperlink" Target="https://e.mail.ru/inbox/0:16321480292045009076:0/" TargetMode="External"/><Relationship Id="rId19" Type="http://schemas.openxmlformats.org/officeDocument/2006/relationships/hyperlink" Target="consultantplus://offline/ref=CFA321BB6BFC87005DA92B0A2B9B6756AB95E9CD3410DAD3E19B0B61552E17FE485E2FAFF069007E6D77E1200C585390035E035F3355360015B7K8H" TargetMode="External"/><Relationship Id="rId31" Type="http://schemas.openxmlformats.org/officeDocument/2006/relationships/hyperlink" Target="consultantplus://offline/ref=CFA321BB6BFC87005DA92B0A2B9B6756AB95E9CD3410DAD3E19B0B61552E17FE485E2FAFF069007D6E7BE1200C585390035E035F3355360015B7K8H" TargetMode="External"/><Relationship Id="rId4" Type="http://schemas.openxmlformats.org/officeDocument/2006/relationships/hyperlink" Target="http://its.1c.ru/db/garant" TargetMode="External"/><Relationship Id="rId9" Type="http://schemas.openxmlformats.org/officeDocument/2006/relationships/hyperlink" Target="https://e.mail.ru/inbox/0:16321480292045009076:0/" TargetMode="External"/><Relationship Id="rId14" Type="http://schemas.openxmlformats.org/officeDocument/2006/relationships/hyperlink" Target="consultantplus://offline/ref=CFA321BB6BFC87005DA92B0A2B9B6756AB95EAC23317DBD3E19B0B61552E17FE485E2FAFF069027F687FE1200C585390035E035F3355360015B7K8H" TargetMode="External"/><Relationship Id="rId22" Type="http://schemas.openxmlformats.org/officeDocument/2006/relationships/hyperlink" Target="consultantplus://offline/ref=CFA321BB6BFC87005DA92B0A2B9B6756AB95EACD3117DCD3E19B0B61552E17FE485E2FAFF26D007C622ABB30081106951D561A41364B36B0K1H" TargetMode="External"/><Relationship Id="rId27" Type="http://schemas.openxmlformats.org/officeDocument/2006/relationships/hyperlink" Target="consultantplus://offline/ref=CFA321BB6BFC87005DA92B0A2B9B6756AB95EAC23317DBD3E19B0B61552E17FE485E2FAFF06A03756B75BE2519490B9D0B481D582A493402B1K6H" TargetMode="External"/><Relationship Id="rId30" Type="http://schemas.openxmlformats.org/officeDocument/2006/relationships/hyperlink" Target="consultantplus://offline/ref=CFA321BB6BFC87005DA92B0A2B9B6756AB95EACD3614DCD3E19B0B61552E17FE485E2FAFF96C00773D2FAE21501C0E830351035D3449B3K5H" TargetMode="External"/><Relationship Id="rId35" Type="http://schemas.openxmlformats.org/officeDocument/2006/relationships/hyperlink" Target="consultantplus://offline/ref=CFA321BB6BFC87005DA92B0A2B9B6756AB95EBCA3611DED3E19B0B61552E17FE485E2FAFF36804773D2FAE21501C0E830351035D3449B3K5H" TargetMode="External"/><Relationship Id="rId8" Type="http://schemas.openxmlformats.org/officeDocument/2006/relationships/hyperlink" Target="https://e.mail.ru/inbox/0:16321480292045009076: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30</cp:revision>
  <dcterms:created xsi:type="dcterms:W3CDTF">2021-09-21T06:57:00Z</dcterms:created>
  <dcterms:modified xsi:type="dcterms:W3CDTF">2021-09-21T10:30:00Z</dcterms:modified>
</cp:coreProperties>
</file>