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56A6D" w14:textId="77777777" w:rsidR="001602C4" w:rsidRPr="001602C4" w:rsidRDefault="001602C4" w:rsidP="001602C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noProof/>
          <w:color w:val="0047B3"/>
          <w:sz w:val="21"/>
          <w:szCs w:val="21"/>
          <w:lang w:eastAsia="ru-RU"/>
        </w:rPr>
        <w:drawing>
          <wp:inline distT="0" distB="0" distL="0" distR="0" wp14:anchorId="22DE1F06" wp14:editId="3E58EA25">
            <wp:extent cx="1714500" cy="228600"/>
            <wp:effectExtent l="0" t="0" r="0" b="0"/>
            <wp:docPr id="1" name="Рисунок 1" descr="Журнал «Зарплата», №4 Апрель 202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урнал «Зарплата», №4 Апрель 20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0B58F" w14:textId="77777777" w:rsidR="001602C4" w:rsidRPr="001602C4" w:rsidRDefault="001602C4" w:rsidP="001602C4">
      <w:pPr>
        <w:spacing w:after="0" w:line="240" w:lineRule="auto"/>
        <w:rPr>
          <w:rFonts w:ascii="Times New Roman" w:eastAsia="Times New Roman" w:hAnsi="Times New Roman" w:cs="Times New Roman"/>
          <w:color w:val="0047B3"/>
          <w:sz w:val="24"/>
          <w:szCs w:val="24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"https://vip.1gl.ru/" \l "/document/192/38247/" </w:instrText>
      </w: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</w:p>
    <w:p w14:paraId="37A04DCC" w14:textId="0661D15B" w:rsidR="001602C4" w:rsidRPr="001602C4" w:rsidRDefault="001602C4" w:rsidP="001602C4">
      <w:pPr>
        <w:spacing w:after="0" w:line="240" w:lineRule="auto"/>
        <w:rPr>
          <w:rFonts w:ascii="Arial" w:eastAsia="Times New Roman" w:hAnsi="Arial" w:cs="Arial"/>
          <w:color w:val="0047B3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0047B3"/>
          <w:sz w:val="21"/>
          <w:szCs w:val="21"/>
          <w:lang w:eastAsia="ru-RU"/>
        </w:rPr>
        <w:t>№4</w:t>
      </w:r>
      <w:r>
        <w:rPr>
          <w:rFonts w:ascii="Arial" w:eastAsia="Times New Roman" w:hAnsi="Arial" w:cs="Arial"/>
          <w:color w:val="0047B3"/>
          <w:sz w:val="21"/>
          <w:szCs w:val="21"/>
          <w:lang w:eastAsia="ru-RU"/>
        </w:rPr>
        <w:t xml:space="preserve"> </w:t>
      </w:r>
      <w:r w:rsidRPr="001602C4">
        <w:rPr>
          <w:rFonts w:ascii="Arial" w:eastAsia="Times New Roman" w:hAnsi="Arial" w:cs="Arial"/>
          <w:color w:val="0047B3"/>
          <w:sz w:val="21"/>
          <w:szCs w:val="21"/>
          <w:lang w:eastAsia="ru-RU"/>
        </w:rPr>
        <w:t>Апрель 2021</w:t>
      </w:r>
    </w:p>
    <w:p w14:paraId="1BD56DF1" w14:textId="77777777" w:rsidR="001602C4" w:rsidRPr="001602C4" w:rsidRDefault="001602C4" w:rsidP="001602C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</w:p>
    <w:p w14:paraId="7D36D98B" w14:textId="77777777" w:rsidR="001602C4" w:rsidRPr="001602C4" w:rsidRDefault="001602C4" w:rsidP="001602C4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  <w:r w:rsidRPr="001602C4"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  <w:t>Что с чем должно сходиться в новой форме 6-НДФЛ</w:t>
      </w:r>
    </w:p>
    <w:p w14:paraId="3C44A4AE" w14:textId="77777777" w:rsidR="001602C4" w:rsidRPr="001602C4" w:rsidRDefault="001602C4" w:rsidP="001602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Из этой статьи вы узнаете:</w:t>
      </w:r>
    </w:p>
    <w:p w14:paraId="306E725E" w14:textId="77777777" w:rsidR="001602C4" w:rsidRPr="001602C4" w:rsidRDefault="001602C4" w:rsidP="001602C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есть ли связь между разделами 1 и 2 новой формы 6-НДФЛ;</w:t>
      </w:r>
    </w:p>
    <w:p w14:paraId="18263ABF" w14:textId="77777777" w:rsidR="001602C4" w:rsidRPr="001602C4" w:rsidRDefault="001602C4" w:rsidP="001602C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почему опасно откладывать уплату НДФЛ;</w:t>
      </w:r>
    </w:p>
    <w:p w14:paraId="0DA86684" w14:textId="77777777" w:rsidR="001602C4" w:rsidRPr="001602C4" w:rsidRDefault="001602C4" w:rsidP="001602C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как доходы в 6-НДФЛ инспекторы сравнят с выплатами в РСВ.</w:t>
      </w:r>
    </w:p>
    <w:p w14:paraId="1071811D" w14:textId="77777777" w:rsidR="001602C4" w:rsidRPr="001602C4" w:rsidRDefault="001602C4" w:rsidP="001602C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С.А. </w:t>
      </w:r>
      <w:proofErr w:type="spellStart"/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Шилкин</w:t>
      </w:r>
      <w:proofErr w:type="spellEnd"/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руководитель экспертного направления журнала «Зарплата»</w:t>
      </w:r>
    </w:p>
    <w:p w14:paraId="6D7300FC" w14:textId="77777777" w:rsidR="001602C4" w:rsidRPr="001602C4" w:rsidRDefault="001602C4" w:rsidP="001602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Проверьте новый 6-НДФЛ по контрольным соотношениям (табл. ниже). Из-за изменений в структуре расчета налоговики обновили номера строк и полей. Однако экономический смысл контрольных соотношений показателей 6-НДФЛ они не меняли. В статье расскажем, за какие поля можно не беспокоиться, где расхождения допустимы, а в каких случаях придется перепроверить цифры и добиться полного соответствия.</w:t>
      </w:r>
    </w:p>
    <w:p w14:paraId="6FF9C060" w14:textId="77777777" w:rsidR="001602C4" w:rsidRPr="001602C4" w:rsidRDefault="001602C4" w:rsidP="001602C4">
      <w:pPr>
        <w:spacing w:before="375" w:after="150" w:line="315" w:lineRule="atLeast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1602C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Таблица. Все контрольные соотношения для 6-НДФЛ</w:t>
      </w:r>
    </w:p>
    <w:p w14:paraId="5B561464" w14:textId="77777777" w:rsidR="001602C4" w:rsidRPr="001602C4" w:rsidRDefault="001602C4" w:rsidP="001602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r w:rsidRPr="001602C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741B536C" wp14:editId="5896784B">
            <wp:extent cx="6346825" cy="5457825"/>
            <wp:effectExtent l="0" t="0" r="0" b="9525"/>
            <wp:docPr id="2" name="Рисунок 2" descr="https://e.profkiosk.ru/service_tbn2/y9luq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service_tbn2/y9luq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699" cy="546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059215D" w14:textId="77777777" w:rsidR="001602C4" w:rsidRPr="001602C4" w:rsidRDefault="001602C4" w:rsidP="001602C4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1602C4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lastRenderedPageBreak/>
        <w:t>Удержанный налог в разделах 1 и 2 может не совпадать</w:t>
      </w:r>
    </w:p>
    <w:p w14:paraId="4661A8E1" w14:textId="77777777" w:rsidR="001602C4" w:rsidRPr="001602C4" w:rsidRDefault="001602C4" w:rsidP="001602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Сумма удержанного налога из строки 160 не должна совпадать с показателем строки 020. Такого равенства в контрольных соотношениях нет. Расхождение допустимо из-за декабрьской зарплаты, если ваша компания выплатила ее 31 декабря.</w:t>
      </w:r>
    </w:p>
    <w:p w14:paraId="2B988D24" w14:textId="77777777" w:rsidR="001602C4" w:rsidRPr="001602C4" w:rsidRDefault="001602C4" w:rsidP="001602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6-НДФЛ за год налог, удержанный при выплате зарплаты за декабрь, вы включили в строку 070 «Сумма удержанного налога» старой формы. Но он не попал в раздел 2, ведь крайний срок уплаты НДФЛ пришелся на 11 января. В новой форме НДФЛ, удержанный из декабрьской зарплаты, вы покажете в строках 021, 022 и 020. При этом в разделе 2 в строку 160 он не войдет. Из-за этого возникнет разница, но это не ошибка.</w:t>
      </w:r>
    </w:p>
    <w:p w14:paraId="166B69E9" w14:textId="77777777" w:rsidR="001602C4" w:rsidRPr="001602C4" w:rsidRDefault="001602C4" w:rsidP="001602C4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1602C4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Исчисленный НДФЛ не обязательно равен удержанному</w:t>
      </w:r>
    </w:p>
    <w:p w14:paraId="31CABC3A" w14:textId="77777777" w:rsidR="001602C4" w:rsidRPr="001602C4" w:rsidRDefault="001602C4" w:rsidP="001602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нужно добиваться равенства строк 140 и 160. Исчисленный налог далеко не всегда совпадает с удержанным. Например, зарплату за март вы начислили 31 марта, в этот же день посчитали НДФЛ. Значит, налог попадет в строку 140 уже в отчете за I квартал. Предположим, что зарплату компания выплатила 5 апреля, в этот же день удержали налог. В строку 160 НДФЛ с мартовской зарплаты вы включите в отчет за полугодие. Тогда же вы заполните и строки 021 и 022.</w:t>
      </w:r>
    </w:p>
    <w:p w14:paraId="2DE89546" w14:textId="77777777" w:rsidR="001602C4" w:rsidRPr="001602C4" w:rsidRDefault="001602C4" w:rsidP="001602C4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1602C4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Сроки уплаты нарушать нельзя</w:t>
      </w:r>
    </w:p>
    <w:p w14:paraId="4EB3708D" w14:textId="77777777" w:rsidR="001602C4" w:rsidRPr="001602C4" w:rsidRDefault="001602C4" w:rsidP="001602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Контрольные соотношения покажут, полностью ли компания перечислила НДФЛ в бюджет и не нарушила ли при этом крайний срок уплаты налога. Поправить их не получится. Налоговики проверят два соотношения.</w:t>
      </w:r>
    </w:p>
    <w:p w14:paraId="54F1AE0F" w14:textId="77777777" w:rsidR="001602C4" w:rsidRPr="001602C4" w:rsidRDefault="001602C4" w:rsidP="001602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Сравнят общую сумму налога к уплате с суммой, которая поступила в бюджет:</w:t>
      </w:r>
    </w:p>
    <w:p w14:paraId="56AF514F" w14:textId="77777777" w:rsidR="001602C4" w:rsidRPr="001602C4" w:rsidRDefault="001602C4" w:rsidP="001602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0A6D2F75" wp14:editId="674A1BED">
            <wp:extent cx="6343650" cy="790575"/>
            <wp:effectExtent l="0" t="0" r="0" b="9525"/>
            <wp:docPr id="3" name="Рисунок 3" descr="https://e.profkiosk.ru/service_tbn2/gty9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gty9h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3811" w14:textId="77777777" w:rsidR="001602C4" w:rsidRPr="001602C4" w:rsidRDefault="001602C4" w:rsidP="001602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Сверят каждое поступление НДФЛ из лицевого счета компании с крайним сроком уплаты налога:</w:t>
      </w:r>
    </w:p>
    <w:p w14:paraId="0EA69B07" w14:textId="77777777" w:rsidR="001602C4" w:rsidRPr="001602C4" w:rsidRDefault="001602C4" w:rsidP="001602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50091196" wp14:editId="1E03E0D6">
            <wp:extent cx="6362700" cy="771525"/>
            <wp:effectExtent l="0" t="0" r="0" b="9525"/>
            <wp:docPr id="4" name="Рисунок 4" descr="https://e.profkiosk.ru/service_tbn2/6f11k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service_tbn2/6f11k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60D86" w14:textId="77777777" w:rsidR="001602C4" w:rsidRPr="001602C4" w:rsidRDefault="001602C4" w:rsidP="001602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кодексе всего два основных правила для уплаты НДФЛ (</w:t>
      </w:r>
      <w:hyperlink r:id="rId10" w:anchor="/document/99/901765862/XA00MAU2NG/" w:history="1">
        <w:r w:rsidRPr="001602C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п. 6 ст. 226 НК</w:t>
        </w:r>
      </w:hyperlink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):</w:t>
      </w:r>
    </w:p>
    <w:p w14:paraId="1F918714" w14:textId="77777777" w:rsidR="001602C4" w:rsidRPr="001602C4" w:rsidRDefault="001602C4" w:rsidP="001602C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отпускных и больничных — не позднее последнего календарного дня месяца;</w:t>
      </w:r>
    </w:p>
    <w:p w14:paraId="2CF7C2FD" w14:textId="77777777" w:rsidR="001602C4" w:rsidRPr="001602C4" w:rsidRDefault="001602C4" w:rsidP="001602C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прочих выплат — не позже следующего рабочего дня.</w:t>
      </w:r>
    </w:p>
    <w:p w14:paraId="38002AA5" w14:textId="77777777" w:rsidR="001602C4" w:rsidRPr="001602C4" w:rsidRDefault="001602C4" w:rsidP="001602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перечислить меньше или опоздать с уплатой хоть на час, компании грозит штраф в 20 процентов от неуплаченного налога (</w:t>
      </w:r>
      <w:hyperlink r:id="rId11" w:anchor="/document/99/901714421/ZAP27JA3F7/" w:history="1">
        <w:r w:rsidRPr="001602C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ст. 123</w:t>
        </w:r>
      </w:hyperlink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НК, </w:t>
      </w:r>
      <w:hyperlink r:id="rId12" w:anchor="/document/99/440595950/" w:history="1">
        <w:r w:rsidRPr="001602C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письмо Минфина от 04.04.2017 № 03-02-08/19755</w:t>
        </w:r>
      </w:hyperlink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Также придется заплатить пени.</w:t>
      </w:r>
    </w:p>
    <w:p w14:paraId="7970C166" w14:textId="77777777" w:rsidR="001602C4" w:rsidRPr="001602C4" w:rsidRDefault="001602C4" w:rsidP="001602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Наш совет — не откладывайте уплату НДФЛ на последний момент, переводите налог в тот же день, когда удержали НДФЛ, или не позже первой половины следующего дня. Иначе есть риск, что банк проведет платеж уже после истечения крайнего срока и вам придется объяснять налоговикам, почему вы задержали платеж.</w:t>
      </w:r>
    </w:p>
    <w:p w14:paraId="75B84E80" w14:textId="77777777" w:rsidR="001602C4" w:rsidRPr="001602C4" w:rsidRDefault="001602C4" w:rsidP="001602C4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1602C4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6-НДФЛ с РСВ тоже сверят</w:t>
      </w:r>
    </w:p>
    <w:p w14:paraId="3AA88CCC" w14:textId="77777777" w:rsidR="001602C4" w:rsidRPr="001602C4" w:rsidRDefault="001602C4" w:rsidP="001602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НДФЛ и взносами облагаются разные выплаты. При этом облагаемые базы формируются по своим правилам. Но это не мешает налоговикам сверять облагаемые базы по НДФЛ и страховым взносам. Отчеты за I квартал они проверят по новым формулам.</w:t>
      </w:r>
    </w:p>
    <w:p w14:paraId="6F2E312B" w14:textId="77777777" w:rsidR="001602C4" w:rsidRPr="001602C4" w:rsidRDefault="001602C4" w:rsidP="001602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Общую сумму выплат из строки 030 подраздела 1.1 приложения 1 к разделу 1 РСВ налоговики больше не используют</w:t>
      </w:r>
    </w:p>
    <w:p w14:paraId="5A212E43" w14:textId="77777777" w:rsidR="001602C4" w:rsidRPr="001602C4" w:rsidRDefault="001602C4" w:rsidP="001602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Облагаемую базу по пенсионным взносам с начала года налоговики сравнят сначала с общей суммой дохода всех физлиц за вычетом дивидендов (</w:t>
      </w:r>
      <w:hyperlink r:id="rId13" w:anchor="/document/99/573702286/" w:history="1">
        <w:r w:rsidRPr="001602C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письмо ФНС от 19.02.2021 № БС-4-11/2124@</w:t>
        </w:r>
      </w:hyperlink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):</w:t>
      </w:r>
    </w:p>
    <w:p w14:paraId="45F8B30E" w14:textId="77777777" w:rsidR="001602C4" w:rsidRPr="001602C4" w:rsidRDefault="001602C4" w:rsidP="001602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6CF88CB6" wp14:editId="017F36B9">
            <wp:extent cx="6286500" cy="762000"/>
            <wp:effectExtent l="0" t="0" r="0" b="0"/>
            <wp:docPr id="5" name="Рисунок 5" descr="https://e.profkiosk.ru/service_tbn2/r9pd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.profkiosk.ru/service_tbn2/r9pde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9FD72" w14:textId="77777777" w:rsidR="001602C4" w:rsidRPr="001602C4" w:rsidRDefault="001602C4" w:rsidP="001602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Затем ту же облагаемую базу по взносам сопоставят с суммой доходов по трудовым и гражданско-правовым договорам на выполнение работ или на оказание услуг (письмо ФНС от 23.03.2021 № БС-4-11/3759@):</w:t>
      </w:r>
    </w:p>
    <w:p w14:paraId="417CE4B1" w14:textId="77777777" w:rsidR="001602C4" w:rsidRPr="001602C4" w:rsidRDefault="001602C4" w:rsidP="001602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755E586F" wp14:editId="6F127F5D">
            <wp:extent cx="6286500" cy="733425"/>
            <wp:effectExtent l="0" t="0" r="0" b="9525"/>
            <wp:docPr id="6" name="Рисунок 6" descr="https://e.profkiosk.ru/service_tbn2/5yzc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.profkiosk.ru/service_tbn2/5yzcxl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E31E4" w14:textId="77777777" w:rsidR="001602C4" w:rsidRPr="001602C4" w:rsidRDefault="001602C4" w:rsidP="001602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Показатель из 6-НДФЛ должен быть больше или как минимум равен цифре из РСВ. Если это не так, налоговая инспекция запросит у компании пояснения. Проверьте, из-за чего у вас возникла разница.</w:t>
      </w:r>
    </w:p>
    <w:p w14:paraId="0BACDEA2" w14:textId="77777777" w:rsidR="001602C4" w:rsidRPr="001602C4" w:rsidRDefault="001602C4" w:rsidP="001602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Причина может быть и обоснованной, тогда укажите ее в пояснениях. Вот два примера: компенсация за задержку зарплаты и оплата дополнительных выходных дней для ухода за детьми-инвалидами. Обе эти выплаты не облагаются НДФЛ, а вот страховые взносы с них чиновники требуют уплатить. Ответить налоговикам нужно в течение пяти рабочих дней (</w:t>
      </w:r>
      <w:hyperlink r:id="rId16" w:anchor="/document/99/901714421/XA00MBM2NM/" w:history="1">
        <w:r w:rsidRPr="001602C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п. 3 ст. 88 НК</w:t>
        </w:r>
      </w:hyperlink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14:paraId="01E5A86C" w14:textId="77777777" w:rsidR="001602C4" w:rsidRPr="001602C4" w:rsidRDefault="001602C4" w:rsidP="0016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627AFA38" w14:textId="77777777" w:rsidR="001602C4" w:rsidRPr="001602C4" w:rsidRDefault="001602C4" w:rsidP="001602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«Что с чем должно сходиться в новой форме 6-НДФЛ»</w:t>
      </w: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БСС «Система Главбух».</w:t>
      </w:r>
      <w:r w:rsidRPr="001602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17" w:anchor="/document/189/881002/cc1e95b9-a444-4a4f-aa86-7eeeeda65f9a/?of=copy-6337f429ea" w:history="1">
        <w:r w:rsidRPr="001602C4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https://vip.1gl.ru/#/document/189/881002/cc1e95b9-a444-4a4f-aa86-7eeeeda65f9a/?of=copy-6337f429ea</w:t>
        </w:r>
      </w:hyperlink>
    </w:p>
    <w:p w14:paraId="484D4536" w14:textId="6943D6B3" w:rsidR="00174058" w:rsidRPr="00CA4705" w:rsidRDefault="00174058" w:rsidP="00CA4705"/>
    <w:sectPr w:rsidR="00174058" w:rsidRPr="00CA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B4B57"/>
    <w:multiLevelType w:val="multilevel"/>
    <w:tmpl w:val="3DFA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46061"/>
    <w:multiLevelType w:val="multilevel"/>
    <w:tmpl w:val="76A0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D9"/>
    <w:rsid w:val="001602C4"/>
    <w:rsid w:val="00174058"/>
    <w:rsid w:val="006459D9"/>
    <w:rsid w:val="0066512C"/>
    <w:rsid w:val="00CA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6050"/>
  <w15:chartTrackingRefBased/>
  <w15:docId w15:val="{047D336A-0587-445E-856F-DAE0FEE4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5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3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9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31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vip.1gl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vip.1gl.ru/" TargetMode="External"/><Relationship Id="rId17" Type="http://schemas.openxmlformats.org/officeDocument/2006/relationships/hyperlink" Target="https://vip.1g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gl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ip.1gl.ru/" TargetMode="External"/><Relationship Id="rId5" Type="http://schemas.openxmlformats.org/officeDocument/2006/relationships/hyperlink" Target="https://vip.1gl.ru/#/document/192/38247/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vip.1gl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2</cp:revision>
  <cp:lastPrinted>2021-04-05T22:36:00Z</cp:lastPrinted>
  <dcterms:created xsi:type="dcterms:W3CDTF">2021-04-12T22:13:00Z</dcterms:created>
  <dcterms:modified xsi:type="dcterms:W3CDTF">2021-04-12T22:13:00Z</dcterms:modified>
</cp:coreProperties>
</file>