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68" w:rsidRPr="00BE5A68" w:rsidRDefault="00BE5A68" w:rsidP="00BE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6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 Борис Н.</w:t>
      </w:r>
    </w:p>
    <w:p w:rsidR="00BE5A68" w:rsidRPr="00BE5A68" w:rsidRDefault="00BE5A68" w:rsidP="00BE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6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>НЕВЕРОВ</w:t>
      </w:r>
    </w:p>
    <w:p w:rsidR="00BE5A68" w:rsidRPr="00BE5A68" w:rsidRDefault="00BE5A68" w:rsidP="00BE5A6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могут быть последствия выявления Минюстом нецелевого расходования АНО денежных средств (только предупреждение?).</w:t>
      </w:r>
    </w:p>
    <w:p w:rsidR="00BE5A68" w:rsidRDefault="00BE5A68" w:rsidP="00BE5A6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Может ли это явиться основанием для признания договора (гранта), на основании которого были предоставлены эти средства недействительным.</w:t>
      </w:r>
    </w:p>
    <w:p w:rsidR="00BE5A68" w:rsidRDefault="00BE5A68" w:rsidP="00BE5A6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E5A68" w:rsidRPr="00BE5A68" w:rsidRDefault="00BE5A68" w:rsidP="00BE5A6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A68" w:rsidRDefault="00BE5A68" w:rsidP="00BE5A6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E5A68" w:rsidRPr="00BE5A68" w:rsidRDefault="00BE5A68" w:rsidP="00BE5A6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E5A6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Законодательство не определяет критерии </w:t>
      </w:r>
    </w:p>
    <w:p w:rsidR="00BE5A68" w:rsidRPr="00BE5A68" w:rsidRDefault="00BE5A68" w:rsidP="00BE5A6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E5A6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«целевого использования средств»</w:t>
      </w:r>
    </w:p>
    <w:p w:rsidR="00BE5A68" w:rsidRPr="00BE5A68" w:rsidRDefault="00BE5A68" w:rsidP="00BE5A6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E5A6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ab/>
      </w:r>
      <w:r w:rsidRPr="00BE5A6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ab/>
      </w:r>
      <w:r w:rsidRPr="00BE5A6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ab/>
        <w:t>Очевидные условия целевого использования средств:</w:t>
      </w:r>
    </w:p>
    <w:p w:rsidR="00BE5A68" w:rsidRPr="00BE5A68" w:rsidRDefault="00BE5A68" w:rsidP="00BE5A6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  <w:t>● расходы должны производиться на осуществление деятельности, соответствующей Уставу и законодательству;</w:t>
      </w:r>
    </w:p>
    <w:p w:rsidR="00BE5A68" w:rsidRPr="00BE5A68" w:rsidRDefault="00BE5A68" w:rsidP="00BE5A6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  <w:t>● расходы должны соответствовать смете (финансовым планом) НКО;</w:t>
      </w:r>
    </w:p>
    <w:p w:rsidR="00BE5A68" w:rsidRPr="00BE5A68" w:rsidRDefault="00BE5A68" w:rsidP="00BE5A6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  <w:t>● расходы должны быть понесены на нужды уставной непредпринимательской деятельности</w:t>
      </w:r>
    </w:p>
    <w:p w:rsidR="00BE5A68" w:rsidRPr="00BE5A68" w:rsidRDefault="00BE5A68" w:rsidP="00BE5A6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  <w:t>● расходы должны быть документально подтверждены с учетом требований Закона «О бухгалтерском учете»</w:t>
      </w:r>
    </w:p>
    <w:p w:rsidR="00BE5A68" w:rsidRDefault="00BE5A68" w:rsidP="00BE5A6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E5A68" w:rsidRPr="00BE5A68" w:rsidRDefault="00BE5A68" w:rsidP="00BE5A6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E5A6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Последствия «нецелевого использования средств»</w:t>
      </w:r>
    </w:p>
    <w:p w:rsidR="00BE5A68" w:rsidRPr="00BE5A68" w:rsidRDefault="00BE5A68" w:rsidP="00BE5A6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E5A6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ab/>
      </w:r>
      <w:r w:rsidRPr="00BE5A6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ab/>
        <w:t xml:space="preserve"> </w:t>
      </w:r>
    </w:p>
    <w:p w:rsidR="00BE5A68" w:rsidRPr="00BE5A68" w:rsidRDefault="00BE5A68" w:rsidP="00BE5A6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  <w:t xml:space="preserve">●  </w:t>
      </w:r>
      <w:r w:rsidRPr="00BE5A6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для </w:t>
      </w:r>
      <w:proofErr w:type="spellStart"/>
      <w:r w:rsidRPr="00BE5A6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небюджетных</w:t>
      </w:r>
      <w:proofErr w:type="spellEnd"/>
      <w:r w:rsidRPr="00BE5A6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средств</w:t>
      </w:r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– признание налогооблагаемым доходом (</w:t>
      </w:r>
      <w:r w:rsidRPr="00BE5A6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п.14 ст.250 НК РФ</w:t>
      </w:r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). Дата получения дохода – дата, когда организация фактически использовала имущество не по целевому назначению либо фактически нарушила условия, на которых оно предоставлялось (</w:t>
      </w:r>
      <w:r w:rsidRPr="00BE5A6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п.4 ст.271 НК РФ</w:t>
      </w:r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);</w:t>
      </w:r>
    </w:p>
    <w:p w:rsidR="00BE5A68" w:rsidRPr="00BE5A68" w:rsidRDefault="00BE5A68" w:rsidP="00BE5A6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  <w:t xml:space="preserve">● </w:t>
      </w:r>
      <w:r w:rsidRPr="00BE5A6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для бюджетных средств</w:t>
      </w:r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– взыскание в бюджет всей суммы средств, использованных не по целевому назначению.</w:t>
      </w:r>
    </w:p>
    <w:p w:rsidR="00BE5A68" w:rsidRPr="00BE5A68" w:rsidRDefault="00BE5A68" w:rsidP="00BE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E5A68" w:rsidRPr="00BE5A68" w:rsidRDefault="00BE5A68" w:rsidP="00BE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6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6. Ольга Г. </w:t>
      </w:r>
    </w:p>
    <w:p w:rsidR="00BE5A68" w:rsidRPr="00BE5A68" w:rsidRDefault="00BE5A68" w:rsidP="00BE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6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>НЕВЕРОВ</w:t>
      </w:r>
    </w:p>
    <w:p w:rsidR="00BE5A68" w:rsidRPr="00BE5A68" w:rsidRDefault="00BE5A68" w:rsidP="00BE5A6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Приказом Банка России от 20.11.2013 №ОД-919 у Коммерческого банка «Мастер–Банк» (ОАО) отозвана лицензия на осуществление банковских операций. В этом банке у нашего Благотворительного Фонда был открыт расчетный счет. Остаток денежных средств, находившийся в банке на эту дату, составил 250 тыс. руб.</w:t>
      </w:r>
    </w:p>
    <w:p w:rsidR="00BE5A68" w:rsidRPr="00BE5A68" w:rsidRDefault="00BE5A68" w:rsidP="00BE5A6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Согласно уведомлению конкурсного управляющего КБ «Мастер-Банк» требования Благотворительного Фонда, основанные на договоре банковского счета, включены в третью очередь Реестра требований кредиторов в полной сумме.</w:t>
      </w:r>
    </w:p>
    <w:p w:rsidR="00BE5A68" w:rsidRPr="00BE5A68" w:rsidRDefault="00BE5A68" w:rsidP="00BE5A6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Решением Арбитражного суда </w:t>
      </w:r>
      <w:proofErr w:type="gramStart"/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</w:t>
      </w:r>
      <w:proofErr w:type="gramEnd"/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Москвы </w:t>
      </w:r>
      <w:r w:rsidRPr="00BE5A6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от 16.01.2014</w:t>
      </w:r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 делу №А40-172055/13 «Мастер-Банк» (ОАО), </w:t>
      </w:r>
      <w:r w:rsidRPr="00BE5A6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признан несостоятельным (банкротом), и в отношении него открыто конкурсное производство</w:t>
      </w:r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BE5A68" w:rsidRPr="00BE5A68" w:rsidRDefault="00BE5A68" w:rsidP="00BE5A6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Агентством по состоянию вкладов дана справка от 12.05.2014, о том, что на 01.01.2014. остаток денежных средств по счету составляет 250 тыс. руб.</w:t>
      </w:r>
    </w:p>
    <w:p w:rsidR="00BE5A68" w:rsidRPr="00BE5A68" w:rsidRDefault="00BE5A68" w:rsidP="00BE5A6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6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По настоящее время банк находится в процедуре банкротства.</w:t>
      </w:r>
    </w:p>
    <w:p w:rsidR="00BE5A68" w:rsidRPr="00BE5A68" w:rsidRDefault="00BE5A68" w:rsidP="00BE5A6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BE5A68" w:rsidRDefault="00BE5A68" w:rsidP="00BE5A6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BE5A6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Вопрос: Как нам отразить в бухгалтерском учете и отчетности вышеуказанную сумму дебиторской задолженности КБ «Мастер-Банк» (ОАО)? И надо ли было создавать резерв по сомнительным долгам</w:t>
      </w:r>
    </w:p>
    <w:p w:rsidR="00BE5A68" w:rsidRDefault="00BE5A68" w:rsidP="00BE5A6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BE5A68" w:rsidRDefault="00BE5A68" w:rsidP="00BE5A6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59357F" w:rsidRPr="0059357F" w:rsidRDefault="0059357F" w:rsidP="0059357F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9357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На дату отзыва у банка лицензии в учете организации отражается дебиторская задолженность банка в размере денежных средств, числящихся на расчетном счете организации на эту дату. При этом производится бухгалтерская запись по </w:t>
      </w:r>
      <w:r w:rsidRPr="00395E25">
        <w:rPr>
          <w:rFonts w:ascii="Arial" w:eastAsia="Times New Roman" w:hAnsi="Arial" w:cs="Arial"/>
          <w:b/>
          <w:color w:val="000000"/>
          <w:spacing w:val="2"/>
          <w:sz w:val="24"/>
          <w:szCs w:val="24"/>
          <w:lang w:eastAsia="ru-RU"/>
        </w:rPr>
        <w:t>дебету счета 76 "Расчеты с разными дебиторами и кредиторами" в корреспонденции с кредитом счета 51 "Расчетные счета"</w:t>
      </w:r>
      <w:r w:rsidRPr="0059357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(Инструкция по применению Плана счетов бухгалтерского учета и финансово- хозяйственной </w:t>
      </w:r>
      <w:r w:rsidRPr="0059357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деятельности организаций, утвержденная Приказом Минфина России от 31.10.2000 N 94н).</w:t>
      </w:r>
    </w:p>
    <w:p w:rsidR="0059357F" w:rsidRPr="0059357F" w:rsidRDefault="0059357F" w:rsidP="0059357F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proofErr w:type="gramStart"/>
      <w:r w:rsidRPr="0059357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Дебиторская задолженность организации, которая с высокой степенью вероятности не будет погашена в сроки, установленные договором, и не обеспечена соответствующими гарантиями, </w:t>
      </w:r>
      <w:r w:rsidRPr="00395E25">
        <w:rPr>
          <w:rFonts w:ascii="Arial" w:eastAsia="Times New Roman" w:hAnsi="Arial" w:cs="Arial"/>
          <w:b/>
          <w:color w:val="000000"/>
          <w:spacing w:val="2"/>
          <w:sz w:val="24"/>
          <w:szCs w:val="24"/>
          <w:lang w:eastAsia="ru-RU"/>
        </w:rPr>
        <w:t>считается сомнительной</w:t>
      </w:r>
      <w:r w:rsidRPr="0059357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59357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абз</w:t>
      </w:r>
      <w:proofErr w:type="spellEnd"/>
      <w:r w:rsidRPr="0059357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. 2 п. 70 Положения по ведению бухгалтерского учета и бухгалтерской отчетности в Российской Федерации, утвержденного Приказом Минфина России от 29.07.1998 N 34н).</w:t>
      </w:r>
      <w:proofErr w:type="gramEnd"/>
    </w:p>
    <w:p w:rsidR="0059357F" w:rsidRPr="0059357F" w:rsidRDefault="0059357F" w:rsidP="0059357F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9357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В рассматриваемой ситуации исходя из требования осмотрительности задолженность банка может быть признана сомнительной, в </w:t>
      </w:r>
      <w:proofErr w:type="gramStart"/>
      <w:r w:rsidRPr="0059357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связи</w:t>
      </w:r>
      <w:proofErr w:type="gramEnd"/>
      <w:r w:rsidRPr="0059357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с чем по этой задолженности создается резерв по сомнительным долгам (п. 6 Положения по бухгалтерскому учету "Учетная политика организации" (ПБУ 1/2008), утвержденного Приказом Минфина России от 06.10.2008 N 106н, </w:t>
      </w:r>
      <w:proofErr w:type="spellStart"/>
      <w:r w:rsidRPr="0059357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абз</w:t>
      </w:r>
      <w:proofErr w:type="spellEnd"/>
      <w:r w:rsidRPr="0059357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. 1 п. 70 Положения по ведению бухгалтерского учета и бухгалтерской отчетности).</w:t>
      </w:r>
    </w:p>
    <w:p w:rsidR="0059357F" w:rsidRPr="0059357F" w:rsidRDefault="0059357F" w:rsidP="0059357F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proofErr w:type="gramStart"/>
      <w:r w:rsidRPr="0059357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Сумма резерва по сомнительным долгам является оценочным значением и определяется организацией самостоятельно по каждому отдельному сомнительному долгу в зависимости от финансового состояния (платежеспособности) должника и оценки вероятности погашения долга полностью или частично (п. п. 2, 3 Положения по бухгалтерскому учету "Изменения оценочных значений" (ПБУ 21/2008), утвержденного Приказом Минфина России от 06.10.2008 N 106н, </w:t>
      </w:r>
      <w:proofErr w:type="spellStart"/>
      <w:r w:rsidRPr="0059357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абз</w:t>
      </w:r>
      <w:proofErr w:type="spellEnd"/>
      <w:r w:rsidRPr="0059357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. 4 п. 70 Положения по</w:t>
      </w:r>
      <w:proofErr w:type="gramEnd"/>
      <w:r w:rsidRPr="0059357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ведению бухгалтерского учета и бухгалтерской отчетности).</w:t>
      </w:r>
    </w:p>
    <w:p w:rsidR="0059357F" w:rsidRPr="0059357F" w:rsidRDefault="0059357F" w:rsidP="0059357F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9357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 данном случае организация создает резерв в отношении сомнительного долга в размере 100% суммы задолженности банка.</w:t>
      </w:r>
    </w:p>
    <w:p w:rsidR="0059357F" w:rsidRPr="0059357F" w:rsidRDefault="0059357F" w:rsidP="0059357F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9357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Отчисления в резерв по сомнительным долгам признаются </w:t>
      </w:r>
      <w:r w:rsidRPr="00395E25">
        <w:rPr>
          <w:rFonts w:ascii="Arial" w:eastAsia="Times New Roman" w:hAnsi="Arial" w:cs="Arial"/>
          <w:b/>
          <w:color w:val="000000"/>
          <w:spacing w:val="2"/>
          <w:sz w:val="24"/>
          <w:szCs w:val="24"/>
          <w:lang w:eastAsia="ru-RU"/>
        </w:rPr>
        <w:t>прочими расходами</w:t>
      </w:r>
      <w:r w:rsidRPr="0059357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организации (п. 11 Положения по бухгалтерскому учету "Расходы организации" ПБУ 10/99, утвержденного Приказом Минфина России от 06.05.1999 N 33н, </w:t>
      </w:r>
      <w:proofErr w:type="spellStart"/>
      <w:r w:rsidRPr="0059357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абз</w:t>
      </w:r>
      <w:proofErr w:type="spellEnd"/>
      <w:r w:rsidRPr="0059357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. 1 п. 70 Положения по ведению бухгалтерского учета и бухгалтерской отчетности, п. 4 ПБУ 21/2008). Формирование резерва по сомнительным долгам отражается </w:t>
      </w:r>
      <w:r w:rsidRPr="00395E25">
        <w:rPr>
          <w:rFonts w:ascii="Arial" w:eastAsia="Times New Roman" w:hAnsi="Arial" w:cs="Arial"/>
          <w:b/>
          <w:color w:val="000000"/>
          <w:spacing w:val="2"/>
          <w:sz w:val="24"/>
          <w:szCs w:val="24"/>
          <w:lang w:eastAsia="ru-RU"/>
        </w:rPr>
        <w:t>по дебету счета 91 "Прочие доходы и расходы", субсчет 91-2 "Прочие расходы", и кредиту счета 63 "Резервы по сомнительным долгам"</w:t>
      </w:r>
      <w:r w:rsidRPr="0059357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(Инструкция по применению Плана счетов).</w:t>
      </w:r>
    </w:p>
    <w:p w:rsidR="0059357F" w:rsidRPr="0059357F" w:rsidRDefault="0059357F" w:rsidP="0059357F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9357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 соответствии с п. 77 Положения по ведению бухгалтерского учета и бухгалтерской отчетности дебиторская задолженность, нереальная для взыскания, подлежит списанию с учета либо за счет созданного ранее резерва по сомнительным долгам, либо в состав прочих расходов. Списание производится на основании данных проведенной инвентаризации, письменного обоснования и приказа (распоряжения) руководителя организации (</w:t>
      </w:r>
      <w:proofErr w:type="gramStart"/>
      <w:r w:rsidRPr="0059357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см</w:t>
      </w:r>
      <w:proofErr w:type="gramEnd"/>
      <w:r w:rsidRPr="0059357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. также Письмо Минфина России от 29.04.2005 N 03-03-01-04/1/205) &lt;**&gt;.</w:t>
      </w:r>
    </w:p>
    <w:p w:rsidR="0059357F" w:rsidRPr="0059357F" w:rsidRDefault="0059357F" w:rsidP="0059357F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9357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Такое понятие, как задолженность, нереальная для взыскания, нормативно не закреплено. Минфин России при списании соответствующих сумм рекомендует </w:t>
      </w:r>
      <w:r w:rsidRPr="0059357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ориентироваться на положения гражданского законодательства (Письмо от 29.01.2008 N 07-05-06/18).</w:t>
      </w:r>
    </w:p>
    <w:p w:rsidR="0059357F" w:rsidRPr="0059357F" w:rsidRDefault="0059357F" w:rsidP="0059357F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9357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 рассматриваемой ситуации задолженность банка становится нереальной для взыскания при погашении требования к банку, не удовлетворенного в ходе конкурсного производства по причине недостаточности имущества банка. Основанием для издания приказа руководителя о списании задолженности кредитной организации, признанной банкротом, может являться вынесенное арбитражным судом определение о завершении конкурсного производства либо информация о внесении в ЕГРЮЛ записи о ликвидации кредитной организации.</w:t>
      </w:r>
    </w:p>
    <w:p w:rsidR="0059357F" w:rsidRPr="0059357F" w:rsidRDefault="0059357F" w:rsidP="0059357F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9357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В данном случае 100% задолженности банка, признанной нереальной для взыскания, списывается за счет средств резерва сомнительных долгов. При этом производится </w:t>
      </w:r>
      <w:r w:rsidRPr="00395E25">
        <w:rPr>
          <w:rFonts w:ascii="Arial" w:eastAsia="Times New Roman" w:hAnsi="Arial" w:cs="Arial"/>
          <w:b/>
          <w:color w:val="000000"/>
          <w:spacing w:val="2"/>
          <w:sz w:val="24"/>
          <w:szCs w:val="24"/>
          <w:lang w:eastAsia="ru-RU"/>
        </w:rPr>
        <w:t>бухгалтерская запись по дебету счета 63 и кредиту счета 76</w:t>
      </w:r>
      <w:r w:rsidRPr="0059357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(Инструкция по применению Плана счетов).</w:t>
      </w:r>
    </w:p>
    <w:p w:rsidR="00BE5A68" w:rsidRPr="00BE5A68" w:rsidRDefault="0059357F" w:rsidP="0059357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7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br/>
      </w:r>
    </w:p>
    <w:p w:rsidR="00BE5A68" w:rsidRPr="00BE5A68" w:rsidRDefault="00BE5A68" w:rsidP="00BE5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A68" w:rsidRPr="00BE5A68" w:rsidRDefault="00BE5A68" w:rsidP="00BE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6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8. Светлана Владимировна Б.</w:t>
      </w:r>
    </w:p>
    <w:p w:rsidR="00BE5A68" w:rsidRPr="00BE5A68" w:rsidRDefault="00BE5A68" w:rsidP="00BE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6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>НЕВЕРОВ</w:t>
      </w:r>
    </w:p>
    <w:p w:rsidR="00BE5A68" w:rsidRPr="00BE5A68" w:rsidRDefault="00BE5A68" w:rsidP="00BE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1.      Мы являемся получателями субсидии юридическим лицам на возмещение затрат, связанных с организацией стажировки выпускников профессиональных образовательных организаций.</w:t>
      </w:r>
    </w:p>
    <w:p w:rsidR="00BE5A68" w:rsidRDefault="00BE5A68" w:rsidP="00BE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Заключен договор  о предоставлении субсидии, ежемесячно подписываются акты выполненных </w:t>
      </w:r>
      <w:proofErr w:type="gramStart"/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работ</w:t>
      </w:r>
      <w:proofErr w:type="gramEnd"/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и идет перечисление субсидии. Верно ли включение данного дохода в налоговую базу  и учитывать при исчислении налога УСН </w:t>
      </w:r>
      <w:proofErr w:type="gramStart"/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( </w:t>
      </w:r>
      <w:proofErr w:type="gramEnd"/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«Доходы»)?</w:t>
      </w:r>
    </w:p>
    <w:p w:rsidR="0059357F" w:rsidRDefault="0059357F" w:rsidP="00BE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400279" w:rsidRPr="00BF1FD2" w:rsidRDefault="00400279" w:rsidP="00400279">
      <w:pPr>
        <w:spacing w:after="0" w:line="240" w:lineRule="auto"/>
        <w:rPr>
          <w:rFonts w:ascii="PT Sans" w:eastAsia="Times New Roman" w:hAnsi="PT Sans" w:cs="Times New Roman"/>
          <w:color w:val="000000"/>
          <w:sz w:val="32"/>
          <w:szCs w:val="32"/>
          <w:shd w:val="clear" w:color="auto" w:fill="E5FAEF"/>
          <w:lang w:eastAsia="ru-RU"/>
        </w:rPr>
      </w:pPr>
      <w:r w:rsidRPr="00BF1FD2">
        <w:rPr>
          <w:rFonts w:ascii="PT Sans" w:eastAsia="Times New Roman" w:hAnsi="PT Sans" w:cs="Times New Roman"/>
          <w:color w:val="000000"/>
          <w:sz w:val="32"/>
          <w:szCs w:val="32"/>
          <w:shd w:val="clear" w:color="auto" w:fill="E5FAEF"/>
          <w:lang w:eastAsia="ru-RU"/>
        </w:rPr>
        <w:t>При УСН не учитываются доходы, перечисленные в ст. 251 НК РФ (по аналогии с исчислением налога на прибыль), в частности, целевые поступления (п. 2 ст. 251 НК РФ) и доходы в виде имущества, полученного в рамках целевого финансирования (</w:t>
      </w:r>
      <w:proofErr w:type="spellStart"/>
      <w:r w:rsidRPr="00BF1FD2">
        <w:rPr>
          <w:rFonts w:ascii="PT Sans" w:eastAsia="Times New Roman" w:hAnsi="PT Sans" w:cs="Times New Roman"/>
          <w:color w:val="000000"/>
          <w:sz w:val="32"/>
          <w:szCs w:val="32"/>
          <w:shd w:val="clear" w:color="auto" w:fill="E5FAEF"/>
          <w:lang w:eastAsia="ru-RU"/>
        </w:rPr>
        <w:t>пп</w:t>
      </w:r>
      <w:proofErr w:type="spellEnd"/>
      <w:r w:rsidRPr="00BF1FD2">
        <w:rPr>
          <w:rFonts w:ascii="PT Sans" w:eastAsia="Times New Roman" w:hAnsi="PT Sans" w:cs="Times New Roman"/>
          <w:color w:val="000000"/>
          <w:sz w:val="32"/>
          <w:szCs w:val="32"/>
          <w:shd w:val="clear" w:color="auto" w:fill="E5FAEF"/>
          <w:lang w:eastAsia="ru-RU"/>
        </w:rPr>
        <w:t xml:space="preserve">. 14 п. 1 ст. 251 НК РФ). </w:t>
      </w:r>
      <w:proofErr w:type="gramStart"/>
      <w:r w:rsidRPr="00BF1FD2">
        <w:rPr>
          <w:rFonts w:ascii="PT Sans" w:eastAsia="Times New Roman" w:hAnsi="PT Sans" w:cs="Times New Roman"/>
          <w:color w:val="000000"/>
          <w:sz w:val="32"/>
          <w:szCs w:val="32"/>
          <w:shd w:val="clear" w:color="auto" w:fill="E5FAEF"/>
          <w:lang w:eastAsia="ru-RU"/>
        </w:rPr>
        <w:t>Однако Минфин в своих письмах разъясняет, что средствами целевого финансирования считаются субсидии, предоставленные бюджетным и автономным учреждениям, а к целевым поступлениям относятся средства на содержание некоммерческих организаций, так что бюджетные субсидии, предоставленные коммерческим организациям и предпринимателям, никак не удов</w:t>
      </w:r>
      <w:r w:rsidRPr="00BF1FD2">
        <w:rPr>
          <w:rFonts w:ascii="PT Sans" w:eastAsia="Times New Roman" w:hAnsi="PT Sans" w:cs="Times New Roman"/>
          <w:color w:val="000000"/>
          <w:sz w:val="32"/>
          <w:szCs w:val="32"/>
          <w:shd w:val="clear" w:color="auto" w:fill="E5FAEF"/>
          <w:lang w:eastAsia="ru-RU"/>
        </w:rPr>
        <w:softHyphen/>
        <w:t xml:space="preserve">летворяют требованиям </w:t>
      </w:r>
      <w:proofErr w:type="spellStart"/>
      <w:r w:rsidRPr="00BF1FD2">
        <w:rPr>
          <w:rFonts w:ascii="PT Sans" w:eastAsia="Times New Roman" w:hAnsi="PT Sans" w:cs="Times New Roman"/>
          <w:color w:val="000000"/>
          <w:sz w:val="32"/>
          <w:szCs w:val="32"/>
          <w:shd w:val="clear" w:color="auto" w:fill="E5FAEF"/>
          <w:lang w:eastAsia="ru-RU"/>
        </w:rPr>
        <w:t>пп</w:t>
      </w:r>
      <w:proofErr w:type="spellEnd"/>
      <w:r w:rsidRPr="00BF1FD2">
        <w:rPr>
          <w:rFonts w:ascii="PT Sans" w:eastAsia="Times New Roman" w:hAnsi="PT Sans" w:cs="Times New Roman"/>
          <w:color w:val="000000"/>
          <w:sz w:val="32"/>
          <w:szCs w:val="32"/>
          <w:shd w:val="clear" w:color="auto" w:fill="E5FAEF"/>
          <w:lang w:eastAsia="ru-RU"/>
        </w:rPr>
        <w:t xml:space="preserve">. 14 п. </w:t>
      </w:r>
      <w:r w:rsidRPr="00BF1FD2">
        <w:rPr>
          <w:rFonts w:ascii="PT Sans" w:eastAsia="Times New Roman" w:hAnsi="PT Sans" w:cs="Times New Roman"/>
          <w:color w:val="000000"/>
          <w:sz w:val="32"/>
          <w:szCs w:val="32"/>
          <w:shd w:val="clear" w:color="auto" w:fill="E5FAEF"/>
          <w:lang w:eastAsia="ru-RU"/>
        </w:rPr>
        <w:lastRenderedPageBreak/>
        <w:t>1 и п. 2 ст. 251 НК РФ и потому на основании ст. 346.15 НК РФ должны</w:t>
      </w:r>
      <w:proofErr w:type="gramEnd"/>
      <w:r w:rsidRPr="00BF1FD2">
        <w:rPr>
          <w:rFonts w:ascii="PT Sans" w:eastAsia="Times New Roman" w:hAnsi="PT Sans" w:cs="Times New Roman"/>
          <w:color w:val="000000"/>
          <w:sz w:val="32"/>
          <w:szCs w:val="32"/>
          <w:shd w:val="clear" w:color="auto" w:fill="E5FAEF"/>
          <w:lang w:eastAsia="ru-RU"/>
        </w:rPr>
        <w:t xml:space="preserve"> включаться в состав налогооблагаемых доходов.</w:t>
      </w:r>
    </w:p>
    <w:p w:rsidR="00400279" w:rsidRPr="00BF1FD2" w:rsidRDefault="00400279" w:rsidP="00400279">
      <w:pPr>
        <w:spacing w:after="0" w:line="240" w:lineRule="auto"/>
        <w:rPr>
          <w:rFonts w:ascii="PT Sans" w:eastAsia="Times New Roman" w:hAnsi="PT Sans" w:cs="Times New Roman"/>
          <w:color w:val="000000"/>
          <w:sz w:val="32"/>
          <w:szCs w:val="32"/>
          <w:shd w:val="clear" w:color="auto" w:fill="E5FAEF"/>
          <w:lang w:eastAsia="ru-RU"/>
        </w:rPr>
      </w:pPr>
    </w:p>
    <w:p w:rsidR="00400279" w:rsidRPr="00BF1FD2" w:rsidRDefault="00400279" w:rsidP="0040027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0279" w:rsidRPr="00BF1FD2" w:rsidRDefault="00400279" w:rsidP="00400279">
      <w:pPr>
        <w:shd w:val="clear" w:color="auto" w:fill="E5FAEF"/>
        <w:spacing w:line="240" w:lineRule="auto"/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</w:pPr>
      <w:r w:rsidRPr="00BF1FD2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t>Федеральная налоговая служба письмо от 30.06.2014 № ГД-4-3/12324@</w:t>
      </w:r>
      <w:r w:rsidRPr="00BF1FD2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br/>
      </w:r>
      <w:r w:rsidRPr="00BF1FD2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br/>
        <w:t xml:space="preserve">Федеральная налоговая служба для сведения и использования в работе направляет согласованную с Министерством финансов Российской Федерации (письмо от 16.05.2014 № 03-03-10/23121) позицию по вопросу порядка учета в целях налогообложения прибыли полученных коммерческой организацией субсидий и сумм </w:t>
      </w:r>
      <w:proofErr w:type="gramStart"/>
      <w:r w:rsidRPr="00BF1FD2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t>остатка</w:t>
      </w:r>
      <w:proofErr w:type="gramEnd"/>
      <w:r w:rsidRPr="00BF1FD2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t xml:space="preserve"> неизрасходованных организацией субсидий в случае их возврата.</w:t>
      </w:r>
      <w:r w:rsidRPr="00BF1FD2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br/>
        <w:t>Согласно пункту 1 статьи 78 Бюджетного кодекса Российской Федерации </w:t>
      </w:r>
      <w:r w:rsidRPr="00BF1FD2">
        <w:rPr>
          <w:rFonts w:ascii="PT Sans" w:eastAsia="Times New Roman" w:hAnsi="PT Sans" w:cs="Times New Roman"/>
          <w:b/>
          <w:bCs/>
          <w:color w:val="000000"/>
          <w:sz w:val="32"/>
          <w:szCs w:val="32"/>
          <w:lang w:eastAsia="ru-RU"/>
        </w:rPr>
        <w:t>субсидии</w:t>
      </w:r>
      <w:r w:rsidRPr="00BF1FD2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t> 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предоставляются на безвозмездной и безвозвратной основе </w:t>
      </w:r>
      <w:r w:rsidRPr="00BF1FD2">
        <w:rPr>
          <w:rFonts w:ascii="PT Sans" w:eastAsia="Times New Roman" w:hAnsi="PT Sans" w:cs="Times New Roman"/>
          <w:b/>
          <w:bCs/>
          <w:color w:val="000000"/>
          <w:sz w:val="32"/>
          <w:szCs w:val="32"/>
          <w:lang w:eastAsia="ru-RU"/>
        </w:rPr>
        <w:t>в целях возмещения затрат или недополученных доходов</w:t>
      </w:r>
      <w:r w:rsidRPr="00BF1FD2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t> в связи с производством (реализацией) товаров, выполнением работ, оказанием услуг.</w:t>
      </w:r>
      <w:r w:rsidRPr="00BF1FD2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br/>
      </w:r>
      <w:proofErr w:type="gramStart"/>
      <w:r w:rsidRPr="00BF1FD2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t xml:space="preserve">При формировании налоговой базы по налогу на прибыль организаций учитываются доходы от реализации товаров (работ, услуг), реализации имущества и имущественных прав, определяемые в соответствии со статьей 249 главы 25 «Налог на прибыль организаций» Налогового кодекса Российской Федерации (далее - НК РФ), и </w:t>
      </w:r>
      <w:proofErr w:type="spellStart"/>
      <w:r w:rsidRPr="00BF1FD2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t>внереализационные</w:t>
      </w:r>
      <w:proofErr w:type="spellEnd"/>
      <w:r w:rsidRPr="00BF1FD2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t xml:space="preserve"> доходы, определяемые в соответствии со статьей 250 НК РФ.</w:t>
      </w:r>
      <w:proofErr w:type="gramEnd"/>
      <w:r w:rsidRPr="00BF1FD2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br/>
        <w:t>Доходы, не учитываемые при определении налоговой базы по налогу на прибыль организаций, определены в статье 251 НК РФ. Перечень таких доходов является исчерпывающим. Субсидии, полученные коммерческими организациями на возмещение затрат в связи с производством (реализацией) товаров, выполнением работ, оказанием услуг, в данном перечне не поименованы, в связи с чем </w:t>
      </w:r>
      <w:r w:rsidRPr="00BF1FD2">
        <w:rPr>
          <w:rFonts w:ascii="PT Sans" w:eastAsia="Times New Roman" w:hAnsi="PT Sans" w:cs="Times New Roman"/>
          <w:b/>
          <w:bCs/>
          <w:color w:val="000000"/>
          <w:sz w:val="32"/>
          <w:szCs w:val="32"/>
          <w:lang w:eastAsia="ru-RU"/>
        </w:rPr>
        <w:t>учитываются в целях налогообложения прибыли в общеустановленном порядке</w:t>
      </w:r>
      <w:r w:rsidRPr="00BF1FD2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t>. При этом данные субсидии не подлежат отдельному учету.</w:t>
      </w:r>
      <w:r w:rsidRPr="00BF1FD2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br/>
        <w:t xml:space="preserve">Вместе с тем, расходы, произведенные за счет целевых </w:t>
      </w:r>
      <w:r w:rsidRPr="00BF1FD2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lastRenderedPageBreak/>
        <w:t>поступлений, включаются в состав расходов при определении налогооблагаемой базы по налогу на прибыль организаций в общеустановленном порядке.</w:t>
      </w:r>
      <w:r w:rsidRPr="00BF1FD2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br/>
        <w:t xml:space="preserve">В случае возврата в соответствующий бюджет суммы остатка неизрасходованных организацией субсидий указанную операцию следует рассматривать в качестве нового обстоятельства, влияющего на размер действительных налоговых обязательств по налогу на прибыль организаций. В этом случае сумма перечисленного в доход бюджета остатка неиспользованных субсидий должна быть учтена в составе </w:t>
      </w:r>
      <w:proofErr w:type="spellStart"/>
      <w:r w:rsidRPr="00BF1FD2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t>внереализационных</w:t>
      </w:r>
      <w:proofErr w:type="spellEnd"/>
      <w:r w:rsidRPr="00BF1FD2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t xml:space="preserve"> расходов отчетного (налогового) периода, в котором произведено указанное перечисление.</w:t>
      </w:r>
      <w:r w:rsidRPr="00BF1FD2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br/>
        <w:t>Доведите данное письмо до нижестоящих налоговых органов и налогоплательщиков.</w:t>
      </w:r>
      <w:r w:rsidRPr="00BF1FD2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br/>
      </w:r>
      <w:r w:rsidRPr="00BF1FD2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br/>
        <w:t>Государственный советник</w:t>
      </w:r>
      <w:r w:rsidRPr="00BF1FD2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br/>
        <w:t>Российской Федерации</w:t>
      </w:r>
      <w:r w:rsidRPr="00BF1FD2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br/>
        <w:t>3 класса</w:t>
      </w:r>
      <w:r w:rsidRPr="00BF1FD2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br/>
        <w:t xml:space="preserve">Д. </w:t>
      </w:r>
      <w:proofErr w:type="spellStart"/>
      <w:r w:rsidRPr="00BF1FD2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t>Григоренко</w:t>
      </w:r>
      <w:proofErr w:type="spellEnd"/>
    </w:p>
    <w:p w:rsidR="0059357F" w:rsidRDefault="0059357F" w:rsidP="00BE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59357F" w:rsidRPr="00BE5A68" w:rsidRDefault="0059357F" w:rsidP="00BE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A68" w:rsidRPr="00BE5A68" w:rsidRDefault="00BE5A68" w:rsidP="00BE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6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10. Галина Геннадьевна К.</w:t>
      </w:r>
    </w:p>
    <w:p w:rsidR="00BE5A68" w:rsidRPr="00BE5A68" w:rsidRDefault="00BE5A68" w:rsidP="00BE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6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>НЕВЕРОВ</w:t>
      </w:r>
    </w:p>
    <w:p w:rsidR="00BE5A68" w:rsidRPr="00BE5A68" w:rsidRDefault="00BE5A68" w:rsidP="00BE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1) НКО имеет несколько проектов. Сотрудник, работающий на двух проектах, получил бытовую травму, ему оплатили больничные листы. Сумма выплат по больничным листам намного превышает месячные страховые взносы в ФСС. На </w:t>
      </w:r>
      <w:proofErr w:type="gramStart"/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протяжении</w:t>
      </w:r>
      <w:proofErr w:type="gramEnd"/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какого периода времени можно не платить взносы в ФСС по этим 2 проектам, если эта сумма выплат пойдет в зачет взносов в ФСС только по 2 проектам, на которых работает сотрудник? По другим проектам взносы уплачиваются. </w:t>
      </w:r>
    </w:p>
    <w:p w:rsidR="00BE5A68" w:rsidRPr="00BE5A68" w:rsidRDefault="00BE5A68" w:rsidP="00BE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 зачет страховых взносов в ФСС берется вся сумма выплат по больничным листам, оплачиваемая ФСС, включая НДФЛ? (Кроме 3 первых дней, оплачиваемых за счет работодателя).</w:t>
      </w:r>
    </w:p>
    <w:p w:rsidR="00BE5A68" w:rsidRPr="00BE5A68" w:rsidRDefault="00BE5A68" w:rsidP="00BE5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A68" w:rsidRPr="00BE5A68" w:rsidRDefault="00BE5A68" w:rsidP="00BE5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A68" w:rsidRPr="00BE5A68" w:rsidRDefault="00BE5A68" w:rsidP="00BE5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A68" w:rsidRPr="00BE5A68" w:rsidRDefault="00BE5A68" w:rsidP="00BE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6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13. Наталья К.</w:t>
      </w:r>
    </w:p>
    <w:p w:rsidR="00BE5A68" w:rsidRPr="00BE5A68" w:rsidRDefault="00BE5A68" w:rsidP="00BE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6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>НЕВЕРОВ</w:t>
      </w:r>
    </w:p>
    <w:p w:rsidR="00BE5A68" w:rsidRPr="00BE5A68" w:rsidRDefault="00BE5A68" w:rsidP="00BE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Некоммерческая организация "Клуб спортивного ориентирования ..." на УСН (15%) проводит соревнования по спортивному ориентированию. </w:t>
      </w:r>
    </w:p>
    <w:p w:rsidR="00BE5A68" w:rsidRPr="00BE5A68" w:rsidRDefault="00BE5A68" w:rsidP="00BE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1) Является ли обязательным условием использование </w:t>
      </w:r>
      <w:proofErr w:type="spellStart"/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онлайн-кассы</w:t>
      </w:r>
      <w:proofErr w:type="spellEnd"/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при получении стартовых взносов. </w:t>
      </w:r>
    </w:p>
    <w:p w:rsidR="00BE5A68" w:rsidRDefault="00BE5A68" w:rsidP="00BE5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2) </w:t>
      </w:r>
      <w:proofErr w:type="gramStart"/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Может</w:t>
      </w:r>
      <w:proofErr w:type="gramEnd"/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есть какие-либо отсрочки в свете новых изменений с 01.07.2019 г.?</w:t>
      </w:r>
    </w:p>
    <w:p w:rsidR="00E6683A" w:rsidRDefault="00E6683A" w:rsidP="00BE5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FF709D" w:rsidRDefault="00FF709D" w:rsidP="00FF709D">
      <w:hyperlink r:id="rId5" w:history="1">
        <w:r>
          <w:rPr>
            <w:rStyle w:val="a4"/>
            <w:rFonts w:ascii="Arial" w:hAnsi="Arial" w:cs="Arial"/>
            <w:b/>
            <w:bCs/>
            <w:color w:val="666699"/>
            <w:shd w:val="clear" w:color="auto" w:fill="FFFFFF"/>
          </w:rPr>
          <w:t xml:space="preserve">"Гражданский кодекс Российской Федерации (часть вторая)" от 26.01.1996 N 14-ФЗ (ред. от 29.07.2018, с </w:t>
        </w:r>
        <w:proofErr w:type="spellStart"/>
        <w:r>
          <w:rPr>
            <w:rStyle w:val="a4"/>
            <w:rFonts w:ascii="Arial" w:hAnsi="Arial" w:cs="Arial"/>
            <w:b/>
            <w:bCs/>
            <w:color w:val="666699"/>
            <w:shd w:val="clear" w:color="auto" w:fill="FFFFFF"/>
          </w:rPr>
          <w:t>изм</w:t>
        </w:r>
        <w:proofErr w:type="spellEnd"/>
        <w:r>
          <w:rPr>
            <w:rStyle w:val="a4"/>
            <w:rFonts w:ascii="Arial" w:hAnsi="Arial" w:cs="Arial"/>
            <w:b/>
            <w:bCs/>
            <w:color w:val="666699"/>
            <w:shd w:val="clear" w:color="auto" w:fill="FFFFFF"/>
          </w:rPr>
          <w:t xml:space="preserve">. от 03.07.2019) (с </w:t>
        </w:r>
        <w:proofErr w:type="spellStart"/>
        <w:r>
          <w:rPr>
            <w:rStyle w:val="a4"/>
            <w:rFonts w:ascii="Arial" w:hAnsi="Arial" w:cs="Arial"/>
            <w:b/>
            <w:bCs/>
            <w:color w:val="666699"/>
            <w:shd w:val="clear" w:color="auto" w:fill="FFFFFF"/>
          </w:rPr>
          <w:t>изм</w:t>
        </w:r>
        <w:proofErr w:type="spellEnd"/>
        <w:r>
          <w:rPr>
            <w:rStyle w:val="a4"/>
            <w:rFonts w:ascii="Arial" w:hAnsi="Arial" w:cs="Arial"/>
            <w:b/>
            <w:bCs/>
            <w:color w:val="666699"/>
            <w:shd w:val="clear" w:color="auto" w:fill="FFFFFF"/>
          </w:rPr>
          <w:t xml:space="preserve">. и доп., вступ. в силу </w:t>
        </w:r>
        <w:proofErr w:type="gramStart"/>
        <w:r>
          <w:rPr>
            <w:rStyle w:val="a4"/>
            <w:rFonts w:ascii="Arial" w:hAnsi="Arial" w:cs="Arial"/>
            <w:b/>
            <w:bCs/>
            <w:color w:val="666699"/>
            <w:shd w:val="clear" w:color="auto" w:fill="FFFFFF"/>
          </w:rPr>
          <w:t>с</w:t>
        </w:r>
        <w:proofErr w:type="gramEnd"/>
        <w:r>
          <w:rPr>
            <w:rStyle w:val="a4"/>
            <w:rFonts w:ascii="Arial" w:hAnsi="Arial" w:cs="Arial"/>
            <w:b/>
            <w:bCs/>
            <w:color w:val="666699"/>
            <w:shd w:val="clear" w:color="auto" w:fill="FFFFFF"/>
          </w:rPr>
          <w:t xml:space="preserve"> 30.12.2018)</w:t>
        </w:r>
      </w:hyperlink>
    </w:p>
    <w:p w:rsidR="00FF709D" w:rsidRDefault="00FF709D" w:rsidP="00FF709D">
      <w:pPr>
        <w:pStyle w:val="1"/>
        <w:shd w:val="clear" w:color="auto" w:fill="FFFFFF"/>
        <w:spacing w:before="0" w:beforeAutospacing="0" w:after="144" w:afterAutospacing="0" w:line="290" w:lineRule="atLeast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bookmarkStart w:id="0" w:name="dst100514"/>
      <w:bookmarkEnd w:id="0"/>
      <w:r>
        <w:rPr>
          <w:rStyle w:val="hl"/>
          <w:rFonts w:ascii="Arial" w:hAnsi="Arial" w:cs="Arial"/>
          <w:color w:val="333333"/>
          <w:sz w:val="24"/>
          <w:szCs w:val="24"/>
        </w:rPr>
        <w:t>ГК РФ Статья 572. Договор дарения</w:t>
      </w:r>
    </w:p>
    <w:p w:rsidR="00FF709D" w:rsidRDefault="00FF709D" w:rsidP="00FF709D">
      <w:pPr>
        <w:pStyle w:val="1"/>
        <w:shd w:val="clear" w:color="auto" w:fill="FFFFFF"/>
        <w:spacing w:before="0" w:beforeAutospacing="0" w:after="144" w:afterAutospacing="0" w:line="290" w:lineRule="atLeast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Style w:val="nobr"/>
          <w:rFonts w:ascii="Arial" w:hAnsi="Arial" w:cs="Arial"/>
          <w:color w:val="333333"/>
          <w:sz w:val="24"/>
          <w:szCs w:val="24"/>
        </w:rPr>
        <w:t> </w:t>
      </w:r>
    </w:p>
    <w:p w:rsidR="00FF709D" w:rsidRDefault="00FF709D" w:rsidP="00FF709D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bookmarkStart w:id="1" w:name="dst100515"/>
      <w:bookmarkEnd w:id="1"/>
      <w:r>
        <w:rPr>
          <w:rStyle w:val="blk"/>
          <w:rFonts w:ascii="Arial" w:hAnsi="Arial" w:cs="Arial"/>
          <w:color w:val="333333"/>
        </w:rPr>
        <w:t>1. По договору дарения одна сторона (даритель) </w:t>
      </w:r>
      <w:hyperlink r:id="rId6" w:anchor="dst100124" w:history="1">
        <w:r>
          <w:rPr>
            <w:rStyle w:val="a4"/>
            <w:rFonts w:ascii="Arial" w:hAnsi="Arial" w:cs="Arial"/>
            <w:color w:val="666699"/>
          </w:rPr>
          <w:t>безвозмездно</w:t>
        </w:r>
      </w:hyperlink>
      <w:r>
        <w:rPr>
          <w:rStyle w:val="blk"/>
          <w:rFonts w:ascii="Arial" w:hAnsi="Arial" w:cs="Arial"/>
          <w:color w:val="333333"/>
        </w:rPr>
        <w:t> передает или обязуется передать другой стороне (одаряемому) вещь в собственность либо имущественное право (требование) к себе или к третьему лицу либо освобождает или обязуется освободить ее от имущественной обязанности перед собой или перед третьим лицом.</w:t>
      </w:r>
    </w:p>
    <w:p w:rsidR="00FF709D" w:rsidRDefault="00FF709D" w:rsidP="00FF709D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</w:rPr>
      </w:pPr>
      <w:bookmarkStart w:id="2" w:name="dst100516"/>
      <w:bookmarkEnd w:id="2"/>
      <w:r>
        <w:rPr>
          <w:rStyle w:val="blk"/>
          <w:rFonts w:ascii="Arial" w:hAnsi="Arial" w:cs="Arial"/>
          <w:color w:val="333333"/>
        </w:rPr>
        <w:t>При наличии встречной передачи вещи или права либо встречного обязательства договор не признается дарением. К такому договору применяются правила, предусмотренные </w:t>
      </w:r>
      <w:hyperlink r:id="rId7" w:anchor="dst100961" w:history="1">
        <w:r>
          <w:rPr>
            <w:rStyle w:val="a4"/>
            <w:rFonts w:ascii="Arial" w:hAnsi="Arial" w:cs="Arial"/>
            <w:color w:val="666699"/>
          </w:rPr>
          <w:t>пунктом 2 статьи 170</w:t>
        </w:r>
      </w:hyperlink>
      <w:r>
        <w:rPr>
          <w:rStyle w:val="blk"/>
          <w:rFonts w:ascii="Arial" w:hAnsi="Arial" w:cs="Arial"/>
          <w:color w:val="333333"/>
        </w:rPr>
        <w:t> настоящего Кодекса.</w:t>
      </w:r>
    </w:p>
    <w:p w:rsidR="00E6683A" w:rsidRDefault="00E6683A" w:rsidP="00BE5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E6683A" w:rsidRPr="00E6683A" w:rsidRDefault="00E6683A" w:rsidP="00E6683A">
      <w:pPr>
        <w:shd w:val="clear" w:color="auto" w:fill="FFFFFF"/>
        <w:spacing w:before="100" w:beforeAutospacing="1" w:after="30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Федеральный </w:t>
      </w:r>
      <w:r w:rsidRPr="00E6683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закон от 06.06.2019 № 129-ФЗ.</w:t>
      </w:r>
    </w:p>
    <w:p w:rsidR="00E6683A" w:rsidRPr="00E6683A" w:rsidRDefault="00E6683A" w:rsidP="00E6683A">
      <w:pPr>
        <w:shd w:val="clear" w:color="auto" w:fill="FFFFFF"/>
        <w:spacing w:before="100" w:beforeAutospacing="1" w:after="30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6683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До 01.07.2021 продлили освобождение от </w:t>
      </w:r>
      <w:proofErr w:type="spellStart"/>
      <w:r w:rsidRPr="00E6683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онлайн-ККТ</w:t>
      </w:r>
      <w:proofErr w:type="spellEnd"/>
      <w:r w:rsidRPr="00E6683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для ИП, занятых оказанием услуг, выполнением работ или продажей товаров собственного производства, не имеющих наемных работников.</w:t>
      </w:r>
    </w:p>
    <w:p w:rsidR="00E6683A" w:rsidRPr="00E6683A" w:rsidRDefault="00E6683A" w:rsidP="00E6683A">
      <w:pPr>
        <w:shd w:val="clear" w:color="auto" w:fill="FFFFFF"/>
        <w:spacing w:before="100" w:beforeAutospacing="1" w:after="30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6683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Кроме отсрочки закон предусматривает и иные поправки в закон № 54-ФЗ.</w:t>
      </w:r>
    </w:p>
    <w:p w:rsidR="00E6683A" w:rsidRPr="00E6683A" w:rsidRDefault="00E6683A" w:rsidP="00E6683A">
      <w:pPr>
        <w:shd w:val="clear" w:color="auto" w:fill="FFFFFF"/>
        <w:spacing w:before="100" w:beforeAutospacing="1" w:after="30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6683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В частности, расширен перечень лиц, которые могут работать без </w:t>
      </w:r>
      <w:proofErr w:type="spellStart"/>
      <w:r w:rsidRPr="00E6683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онлайн-касс</w:t>
      </w:r>
      <w:proofErr w:type="spellEnd"/>
      <w:r w:rsidRPr="00E6683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. Это, в том числе:</w:t>
      </w:r>
    </w:p>
    <w:p w:rsidR="00E6683A" w:rsidRPr="00E6683A" w:rsidRDefault="00E6683A" w:rsidP="00E668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6683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предприниматели, сдающие в аренду жилье совместно с </w:t>
      </w:r>
      <w:proofErr w:type="spellStart"/>
      <w:r w:rsidRPr="00E6683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машино-местами</w:t>
      </w:r>
      <w:proofErr w:type="spellEnd"/>
      <w:r w:rsidRPr="00E6683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E6683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расположенными</w:t>
      </w:r>
      <w:proofErr w:type="gramEnd"/>
      <w:r w:rsidRPr="00E6683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в многоквартирных домах (ранее освобождение планировалось только для сдачи в аренду жилья);</w:t>
      </w:r>
    </w:p>
    <w:p w:rsidR="00E6683A" w:rsidRPr="00E6683A" w:rsidRDefault="00E6683A" w:rsidP="00E668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6683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организации и ИП при продаже бахил, в т. ч. через автоматические устройства;</w:t>
      </w:r>
    </w:p>
    <w:p w:rsidR="00E6683A" w:rsidRPr="00E6683A" w:rsidRDefault="00E6683A" w:rsidP="00E668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6683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ИП, продающие театральные билеты и абонементы;</w:t>
      </w:r>
    </w:p>
    <w:p w:rsidR="00E6683A" w:rsidRPr="00E6683A" w:rsidRDefault="00E6683A" w:rsidP="00E668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6683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различные товарищества собственников недвижимости и жилищные кооперативы — в отношении расчетов за услуги своим членам в рамках уставной деятельности, а также при приеме платы за коммуналку;</w:t>
      </w:r>
    </w:p>
    <w:p w:rsidR="00E6683A" w:rsidRPr="00E6683A" w:rsidRDefault="00E6683A" w:rsidP="00E668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6683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образовательные организации — в отношении услуг населению в сфере образования;</w:t>
      </w:r>
    </w:p>
    <w:p w:rsidR="00E6683A" w:rsidRPr="00E6683A" w:rsidRDefault="00E6683A" w:rsidP="00E668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6683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физкультурно-спортивные организации — в отношении услуг населению в сфере физкультуры и спорта;</w:t>
      </w:r>
    </w:p>
    <w:p w:rsidR="00E6683A" w:rsidRPr="00E6683A" w:rsidRDefault="00E6683A" w:rsidP="00E668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6683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различные </w:t>
      </w:r>
      <w:proofErr w:type="spellStart"/>
      <w:r w:rsidRPr="00E6683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культурно-досуговые</w:t>
      </w:r>
      <w:proofErr w:type="spellEnd"/>
      <w:r w:rsidRPr="00E6683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организации — в отношении своих услуг.</w:t>
      </w:r>
    </w:p>
    <w:p w:rsidR="00E6683A" w:rsidRPr="00E6683A" w:rsidRDefault="00E6683A" w:rsidP="00E6683A">
      <w:pPr>
        <w:shd w:val="clear" w:color="auto" w:fill="FFFFFF"/>
        <w:spacing w:before="100" w:beforeAutospacing="1" w:after="30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6683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Освобождение по </w:t>
      </w:r>
      <w:proofErr w:type="spellStart"/>
      <w:r w:rsidRPr="00E6683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пп</w:t>
      </w:r>
      <w:proofErr w:type="spellEnd"/>
      <w:r w:rsidRPr="00E6683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. 4–7 будет действовать при безналичных расчетах, при оплате наличными или картой в присутствии клиента чеки придется пробивать.</w:t>
      </w:r>
    </w:p>
    <w:p w:rsidR="00E6683A" w:rsidRPr="00E6683A" w:rsidRDefault="00E6683A" w:rsidP="00E6683A">
      <w:pPr>
        <w:shd w:val="clear" w:color="auto" w:fill="FFFFFF"/>
        <w:spacing w:before="100" w:beforeAutospacing="1" w:after="30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6683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Изменен порядок пробития чеков при зачете и возврате авансов. Во-первых, делать зачет предоплаты одним чеком за расчетный период (длительность которого может быть до 1 месяца) теперь разрешено также при оказании услуг в сфере ЖКХ, образования и обеспечения безопасности. Во-вторых, срок на пробитие такого чека продлен с одного рабочего дня до десяти календарных.</w:t>
      </w:r>
    </w:p>
    <w:p w:rsidR="00E6683A" w:rsidRPr="00E6683A" w:rsidRDefault="00E6683A" w:rsidP="00E6683A">
      <w:pPr>
        <w:shd w:val="clear" w:color="auto" w:fill="FFFFFF"/>
        <w:spacing w:before="100" w:beforeAutospacing="1" w:after="30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6683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Кроме этого, разрешено применять ККТ удаленно (вне места расчетов) </w:t>
      </w:r>
      <w:proofErr w:type="gramStart"/>
      <w:r w:rsidRPr="00E6683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при</w:t>
      </w:r>
      <w:proofErr w:type="gramEnd"/>
      <w:r w:rsidRPr="00E6683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:</w:t>
      </w:r>
    </w:p>
    <w:p w:rsidR="00E6683A" w:rsidRPr="00E6683A" w:rsidRDefault="00E6683A" w:rsidP="00E668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6683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разносной торговле и дистанционном способе продажи товаров (кроме расчетов через Интернет);</w:t>
      </w:r>
    </w:p>
    <w:p w:rsidR="00E6683A" w:rsidRPr="00E6683A" w:rsidRDefault="00E6683A" w:rsidP="00E668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proofErr w:type="gramStart"/>
      <w:r w:rsidRPr="00E6683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осуществлении</w:t>
      </w:r>
      <w:proofErr w:type="gramEnd"/>
      <w:r w:rsidRPr="00E6683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расчетов по месту выполнения работы или оказания услуги, если они выполняются (оказываются) не на территории продавца;</w:t>
      </w:r>
    </w:p>
    <w:p w:rsidR="00E6683A" w:rsidRPr="00E6683A" w:rsidRDefault="00E6683A" w:rsidP="00E668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proofErr w:type="gramStart"/>
      <w:r w:rsidRPr="00E6683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расчетах</w:t>
      </w:r>
      <w:proofErr w:type="gramEnd"/>
      <w:r w:rsidRPr="00E6683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за услуги, для оформления которых утверждены специальные бланки, и в некоторых других случаях.</w:t>
      </w:r>
    </w:p>
    <w:p w:rsidR="00E6683A" w:rsidRDefault="00E6683A" w:rsidP="00BE5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BE5A68" w:rsidRPr="00BE5A68" w:rsidRDefault="00BE5A68" w:rsidP="00BE5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A68" w:rsidRPr="00BE5A68" w:rsidRDefault="00BE5A68" w:rsidP="00BE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6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16. Ольга Вячеславовна В.</w:t>
      </w:r>
    </w:p>
    <w:p w:rsidR="00BE5A68" w:rsidRPr="00BE5A68" w:rsidRDefault="00BE5A68" w:rsidP="00BE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6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>НЕВЕРОВ</w:t>
      </w:r>
    </w:p>
    <w:p w:rsidR="00BE5A68" w:rsidRPr="00BE5A68" w:rsidRDefault="00BE5A68" w:rsidP="00BE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Организация - НКО, УСН (15%), </w:t>
      </w:r>
      <w:proofErr w:type="spellStart"/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коттеджный</w:t>
      </w:r>
      <w:proofErr w:type="spellEnd"/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поселок, есть доход от компенсационных выплат.</w:t>
      </w:r>
    </w:p>
    <w:p w:rsidR="00BE5A68" w:rsidRPr="00BE5A68" w:rsidRDefault="00BE5A68" w:rsidP="00BE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Вопросы:</w:t>
      </w:r>
    </w:p>
    <w:p w:rsidR="00BE5A68" w:rsidRPr="00BE5A68" w:rsidRDefault="00BE5A68" w:rsidP="00BE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1. Есть давний договор с соседним поселком о приеме канализационных стоков (в свою канализационную систему) по стоимости 10 тыс. </w:t>
      </w:r>
      <w:proofErr w:type="spellStart"/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руб</w:t>
      </w:r>
      <w:proofErr w:type="spellEnd"/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в месяц, с января ведутся переговоры об увеличении размера оплаты до 20 </w:t>
      </w:r>
      <w:proofErr w:type="spellStart"/>
      <w:proofErr w:type="gramStart"/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тыс</w:t>
      </w:r>
      <w:proofErr w:type="spellEnd"/>
      <w:proofErr w:type="gramEnd"/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руб.,  пока «соседи» не соглашаются, торгуются - есть большая вероятность, что до конца этого года согласие будет получено и изменения в договор будут внесены, причем с 1 января 2019. Как в этом случае делать доначисление дохода </w:t>
      </w:r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lastRenderedPageBreak/>
        <w:t xml:space="preserve">за период с января по сентябрь: одной суммой 1 октября или </w:t>
      </w:r>
      <w:proofErr w:type="spellStart"/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доначислить</w:t>
      </w:r>
      <w:proofErr w:type="spellEnd"/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за каждый месяц с января?</w:t>
      </w:r>
    </w:p>
    <w:p w:rsidR="00BE5A68" w:rsidRPr="00BE5A68" w:rsidRDefault="00BE5A68" w:rsidP="00BE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2.  Ранее для Росстата НКО относились к крупным предприятиям, сейчас стали ближе к малым, или вообще стали сами по себе?</w:t>
      </w:r>
    </w:p>
    <w:p w:rsidR="00BE5A68" w:rsidRPr="00BE5A68" w:rsidRDefault="00BE5A68" w:rsidP="00BE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6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3. Появилась новая рекомендованная форма упрощенной отчетности, что в этом принципиально нового?</w:t>
      </w:r>
    </w:p>
    <w:p w:rsidR="00BE5A68" w:rsidRDefault="00BE5A68" w:rsidP="00BE5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E3B" w:rsidRDefault="00B30E3B" w:rsidP="00BE5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E3B" w:rsidRPr="007F03F9" w:rsidRDefault="00B30E3B" w:rsidP="00BE5A68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7F03F9">
        <w:rPr>
          <w:rFonts w:ascii="Arial" w:hAnsi="Arial" w:cs="Arial"/>
          <w:sz w:val="24"/>
          <w:szCs w:val="24"/>
          <w:shd w:val="clear" w:color="auto" w:fill="FFFFFF"/>
        </w:rPr>
        <w:t>По общему правилу, закрепленному в ст. 425 Гражданского кодекса Российской Федерации договор вступает в силу и становится обязательным для сторон с момента его заключения. Стороны вправе установить, что условия заключенного ими договора применяются к их отношениям, возникшим до заключения договора. Возможность придать договору обратную силу представляет собой проявление принципа гражданского права о свободе договора (ст. 421 ГК РФ).</w:t>
      </w:r>
    </w:p>
    <w:p w:rsidR="00B30E3B" w:rsidRDefault="00B30E3B" w:rsidP="00BE5A68">
      <w:pPr>
        <w:spacing w:after="0" w:line="240" w:lineRule="auto"/>
        <w:rPr>
          <w:rFonts w:ascii="Arial" w:hAnsi="Arial" w:cs="Arial"/>
          <w:color w:val="636162"/>
          <w:sz w:val="20"/>
          <w:szCs w:val="20"/>
          <w:shd w:val="clear" w:color="auto" w:fill="FFFFFF"/>
        </w:rPr>
      </w:pPr>
    </w:p>
    <w:p w:rsidR="007F03F9" w:rsidRPr="007F03F9" w:rsidRDefault="007F03F9" w:rsidP="007F03F9">
      <w:pPr>
        <w:shd w:val="clear" w:color="auto" w:fill="FFFFFF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color w:val="0000FF"/>
          <w:kern w:val="36"/>
          <w:sz w:val="48"/>
          <w:szCs w:val="48"/>
          <w:lang w:eastAsia="ru-RU"/>
        </w:rPr>
      </w:pPr>
      <w:r w:rsidRPr="007F03F9"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szCs w:val="32"/>
          <w:lang w:eastAsia="ru-RU"/>
        </w:rPr>
        <w:t>ДОПУЩЕНИЕ ВРЕМЕННОЙ ОПРЕДЕЛЕННОСТИ ФАКТОВ ХОЗЯЙСТВЕННОЙ ДЕЯТЕЛЬНОСТИ</w:t>
      </w:r>
    </w:p>
    <w:p w:rsidR="007F03F9" w:rsidRPr="007F03F9" w:rsidRDefault="007F03F9" w:rsidP="007F0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03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4500" w:type="pct"/>
        <w:jc w:val="center"/>
        <w:tblCellSpacing w:w="52" w:type="dxa"/>
        <w:tblCellMar>
          <w:left w:w="0" w:type="dxa"/>
          <w:right w:w="0" w:type="dxa"/>
        </w:tblCellMar>
        <w:tblLook w:val="04A0"/>
      </w:tblPr>
      <w:tblGrid>
        <w:gridCol w:w="1005"/>
        <w:gridCol w:w="7796"/>
      </w:tblGrid>
      <w:tr w:rsidR="007F03F9" w:rsidRPr="007F03F9" w:rsidTr="007F03F9">
        <w:trPr>
          <w:tblCellSpacing w:w="52" w:type="dxa"/>
          <w:jc w:val="center"/>
        </w:trPr>
        <w:tc>
          <w:tcPr>
            <w:tcW w:w="500" w:type="pct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3F9" w:rsidRPr="007F03F9" w:rsidRDefault="007F03F9" w:rsidP="007F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3F9" w:rsidRPr="007F03F9" w:rsidRDefault="007F03F9" w:rsidP="007F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принцип бухгалтерского учета, означающий, что факты хозяйственной деятельности будут отражены в бухгалтерском учете и отчетности того периода, в котором совершены, независимо от фактического времени поступления или выплаты денежных средств, связанных с этими фактами. Например, начисленная работникам организации оплата труда относится на издержки производства или расходы того периода, в котором она начислена, независимо от фактического времени выплаты начисленной суммы работникам.</w:t>
            </w:r>
          </w:p>
        </w:tc>
      </w:tr>
    </w:tbl>
    <w:p w:rsidR="00B30E3B" w:rsidRDefault="00B30E3B" w:rsidP="00BE5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83A" w:rsidRDefault="00E6683A" w:rsidP="00BE5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83A" w:rsidRDefault="00E6683A" w:rsidP="00E6683A">
      <w:hyperlink r:id="rId8" w:history="1">
        <w:r>
          <w:rPr>
            <w:rStyle w:val="a4"/>
            <w:rFonts w:ascii="Arial" w:hAnsi="Arial" w:cs="Arial"/>
            <w:b/>
            <w:bCs/>
            <w:color w:val="666699"/>
            <w:shd w:val="clear" w:color="auto" w:fill="FFFFFF"/>
          </w:rPr>
          <w:t>Приказ Минфина России от 02.07.2010 N 66н (ред. от 19.04.2019) "О формах бухгалтерской отчетности организаций" (Зарегистрировано в Минюсте России 02.08.2010 N 18023)</w:t>
        </w:r>
      </w:hyperlink>
    </w:p>
    <w:p w:rsidR="00E6683A" w:rsidRDefault="00E6683A" w:rsidP="00E6683A">
      <w:pPr>
        <w:shd w:val="clear" w:color="auto" w:fill="FFFFFF"/>
        <w:spacing w:line="362" w:lineRule="atLeast"/>
        <w:jc w:val="right"/>
        <w:rPr>
          <w:rFonts w:ascii="Arial" w:hAnsi="Arial" w:cs="Arial"/>
          <w:color w:val="333333"/>
        </w:rPr>
      </w:pPr>
      <w:bookmarkStart w:id="3" w:name="dst173"/>
      <w:bookmarkEnd w:id="3"/>
      <w:r>
        <w:rPr>
          <w:rStyle w:val="blk"/>
          <w:rFonts w:ascii="Arial" w:hAnsi="Arial" w:cs="Arial"/>
          <w:color w:val="333333"/>
        </w:rPr>
        <w:t>Приложение N 5</w:t>
      </w:r>
    </w:p>
    <w:p w:rsidR="00E6683A" w:rsidRDefault="00E6683A" w:rsidP="00E6683A">
      <w:pPr>
        <w:shd w:val="clear" w:color="auto" w:fill="FFFFFF"/>
        <w:spacing w:line="362" w:lineRule="atLeast"/>
        <w:jc w:val="right"/>
        <w:rPr>
          <w:rFonts w:ascii="Arial" w:hAnsi="Arial" w:cs="Arial"/>
          <w:color w:val="333333"/>
        </w:rPr>
      </w:pPr>
      <w:r>
        <w:rPr>
          <w:rStyle w:val="blk"/>
          <w:rFonts w:ascii="Arial" w:hAnsi="Arial" w:cs="Arial"/>
          <w:color w:val="333333"/>
        </w:rPr>
        <w:t>к приказу Министерства финансов</w:t>
      </w:r>
    </w:p>
    <w:p w:rsidR="00E6683A" w:rsidRDefault="00E6683A" w:rsidP="00E6683A">
      <w:pPr>
        <w:shd w:val="clear" w:color="auto" w:fill="FFFFFF"/>
        <w:spacing w:line="362" w:lineRule="atLeast"/>
        <w:jc w:val="right"/>
        <w:rPr>
          <w:rFonts w:ascii="Arial" w:hAnsi="Arial" w:cs="Arial"/>
          <w:color w:val="333333"/>
        </w:rPr>
      </w:pPr>
      <w:r>
        <w:rPr>
          <w:rStyle w:val="blk"/>
          <w:rFonts w:ascii="Arial" w:hAnsi="Arial" w:cs="Arial"/>
          <w:color w:val="333333"/>
        </w:rPr>
        <w:t>Российской Федерации</w:t>
      </w:r>
    </w:p>
    <w:p w:rsidR="00E6683A" w:rsidRDefault="00E6683A" w:rsidP="00E6683A">
      <w:pPr>
        <w:shd w:val="clear" w:color="auto" w:fill="FFFFFF"/>
        <w:spacing w:line="362" w:lineRule="atLeast"/>
        <w:jc w:val="right"/>
        <w:rPr>
          <w:rFonts w:ascii="Arial" w:hAnsi="Arial" w:cs="Arial"/>
          <w:color w:val="333333"/>
        </w:rPr>
      </w:pPr>
      <w:r>
        <w:rPr>
          <w:rStyle w:val="blk"/>
          <w:rFonts w:ascii="Arial" w:hAnsi="Arial" w:cs="Arial"/>
          <w:color w:val="333333"/>
        </w:rPr>
        <w:t>от 2 июля 2010 г. N 66н</w:t>
      </w:r>
    </w:p>
    <w:p w:rsidR="00E6683A" w:rsidRDefault="00E6683A" w:rsidP="00E6683A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</w:rPr>
      </w:pPr>
      <w:r>
        <w:rPr>
          <w:rStyle w:val="nobr"/>
          <w:rFonts w:ascii="Arial" w:hAnsi="Arial" w:cs="Arial"/>
          <w:color w:val="333333"/>
        </w:rPr>
        <w:t> </w:t>
      </w:r>
    </w:p>
    <w:p w:rsidR="00E6683A" w:rsidRDefault="00E6683A" w:rsidP="00E6683A">
      <w:pPr>
        <w:shd w:val="clear" w:color="auto" w:fill="FFFFFF"/>
        <w:spacing w:line="362" w:lineRule="atLeast"/>
        <w:jc w:val="both"/>
        <w:rPr>
          <w:rFonts w:ascii="Arial" w:hAnsi="Arial" w:cs="Arial"/>
          <w:color w:val="333333"/>
        </w:rPr>
      </w:pPr>
      <w:r>
        <w:rPr>
          <w:rStyle w:val="blk"/>
          <w:rFonts w:ascii="Arial" w:hAnsi="Arial" w:cs="Arial"/>
          <w:color w:val="333333"/>
        </w:rPr>
        <w:t>См. данную </w:t>
      </w:r>
      <w:hyperlink r:id="rId9" w:tgtFrame="_blank" w:history="1">
        <w:r>
          <w:rPr>
            <w:rStyle w:val="a4"/>
            <w:rFonts w:ascii="Arial" w:hAnsi="Arial" w:cs="Arial"/>
            <w:color w:val="666699"/>
          </w:rPr>
          <w:t>форму</w:t>
        </w:r>
      </w:hyperlink>
      <w:r>
        <w:rPr>
          <w:rStyle w:val="blk"/>
          <w:rFonts w:ascii="Arial" w:hAnsi="Arial" w:cs="Arial"/>
          <w:color w:val="333333"/>
        </w:rPr>
        <w:t xml:space="preserve"> в </w:t>
      </w:r>
      <w:proofErr w:type="spellStart"/>
      <w:r>
        <w:rPr>
          <w:rStyle w:val="blk"/>
          <w:rFonts w:ascii="Arial" w:hAnsi="Arial" w:cs="Arial"/>
          <w:color w:val="333333"/>
        </w:rPr>
        <w:t>MS-Excel</w:t>
      </w:r>
      <w:proofErr w:type="spellEnd"/>
      <w:r>
        <w:rPr>
          <w:rStyle w:val="blk"/>
          <w:rFonts w:ascii="Arial" w:hAnsi="Arial" w:cs="Arial"/>
          <w:color w:val="333333"/>
        </w:rPr>
        <w:t>.</w:t>
      </w:r>
    </w:p>
    <w:p w:rsidR="00E6683A" w:rsidRDefault="00E6683A" w:rsidP="00E6683A">
      <w:pPr>
        <w:shd w:val="clear" w:color="auto" w:fill="FFFFFF"/>
        <w:spacing w:line="362" w:lineRule="atLeast"/>
        <w:jc w:val="both"/>
        <w:rPr>
          <w:rFonts w:ascii="Arial" w:hAnsi="Arial" w:cs="Arial"/>
          <w:color w:val="333333"/>
        </w:rPr>
      </w:pPr>
      <w:r>
        <w:rPr>
          <w:rStyle w:val="nobr"/>
          <w:rFonts w:ascii="Arial" w:hAnsi="Arial" w:cs="Arial"/>
          <w:color w:val="333333"/>
        </w:rPr>
        <w:t> </w:t>
      </w:r>
    </w:p>
    <w:p w:rsidR="00E6683A" w:rsidRDefault="00E6683A" w:rsidP="00E6683A">
      <w:pPr>
        <w:shd w:val="clear" w:color="auto" w:fill="FFFFFF"/>
        <w:spacing w:line="362" w:lineRule="atLeast"/>
        <w:jc w:val="both"/>
        <w:rPr>
          <w:rFonts w:ascii="Arial" w:hAnsi="Arial" w:cs="Arial"/>
          <w:color w:val="333333"/>
        </w:rPr>
      </w:pPr>
      <w:r>
        <w:rPr>
          <w:rStyle w:val="blk"/>
          <w:rFonts w:ascii="Arial" w:hAnsi="Arial" w:cs="Arial"/>
          <w:color w:val="333333"/>
        </w:rPr>
        <w:lastRenderedPageBreak/>
        <w:t>См. данную </w:t>
      </w:r>
      <w:hyperlink r:id="rId10" w:tgtFrame="_blank" w:history="1">
        <w:r>
          <w:rPr>
            <w:rStyle w:val="a4"/>
            <w:rFonts w:ascii="Arial" w:hAnsi="Arial" w:cs="Arial"/>
            <w:color w:val="666699"/>
          </w:rPr>
          <w:t>форму</w:t>
        </w:r>
      </w:hyperlink>
      <w:r>
        <w:rPr>
          <w:rStyle w:val="blk"/>
          <w:rFonts w:ascii="Arial" w:hAnsi="Arial" w:cs="Arial"/>
          <w:color w:val="333333"/>
        </w:rPr>
        <w:t xml:space="preserve"> в </w:t>
      </w:r>
      <w:proofErr w:type="spellStart"/>
      <w:r>
        <w:rPr>
          <w:rStyle w:val="blk"/>
          <w:rFonts w:ascii="Arial" w:hAnsi="Arial" w:cs="Arial"/>
          <w:color w:val="333333"/>
        </w:rPr>
        <w:t>MS-Excel</w:t>
      </w:r>
      <w:proofErr w:type="spellEnd"/>
      <w:r>
        <w:rPr>
          <w:rStyle w:val="blk"/>
          <w:rFonts w:ascii="Arial" w:hAnsi="Arial" w:cs="Arial"/>
          <w:color w:val="333333"/>
        </w:rPr>
        <w:t xml:space="preserve"> с графой "Код".</w:t>
      </w:r>
    </w:p>
    <w:p w:rsidR="00E6683A" w:rsidRDefault="00E6683A" w:rsidP="00E6683A">
      <w:pPr>
        <w:pStyle w:val="1"/>
        <w:shd w:val="clear" w:color="auto" w:fill="FFFFFF"/>
        <w:spacing w:before="0" w:beforeAutospacing="0" w:after="144" w:afterAutospacing="0" w:line="362" w:lineRule="atLeast"/>
        <w:jc w:val="center"/>
        <w:rPr>
          <w:rFonts w:ascii="Arial" w:hAnsi="Arial" w:cs="Arial"/>
          <w:color w:val="333333"/>
          <w:sz w:val="24"/>
          <w:szCs w:val="24"/>
        </w:rPr>
      </w:pPr>
      <w:bookmarkStart w:id="4" w:name="dst323"/>
      <w:bookmarkEnd w:id="4"/>
      <w:r>
        <w:rPr>
          <w:rStyle w:val="blk"/>
          <w:rFonts w:ascii="Arial" w:hAnsi="Arial" w:cs="Arial"/>
          <w:color w:val="333333"/>
          <w:sz w:val="24"/>
          <w:szCs w:val="24"/>
        </w:rPr>
        <w:t>УПРОЩЕННЫЕ ФОРМЫ БУХГАЛТЕРСКОГО БАЛАНСА,</w:t>
      </w:r>
    </w:p>
    <w:p w:rsidR="00E6683A" w:rsidRDefault="00E6683A" w:rsidP="00E6683A">
      <w:pPr>
        <w:pStyle w:val="1"/>
        <w:shd w:val="clear" w:color="auto" w:fill="FFFFFF"/>
        <w:spacing w:before="0" w:beforeAutospacing="0" w:after="144" w:afterAutospacing="0" w:line="362" w:lineRule="atLeast"/>
        <w:jc w:val="center"/>
        <w:rPr>
          <w:rFonts w:ascii="Arial" w:hAnsi="Arial" w:cs="Arial"/>
          <w:color w:val="333333"/>
          <w:sz w:val="24"/>
          <w:szCs w:val="24"/>
        </w:rPr>
      </w:pPr>
      <w:r>
        <w:rPr>
          <w:rStyle w:val="blk"/>
          <w:rFonts w:ascii="Arial" w:hAnsi="Arial" w:cs="Arial"/>
          <w:color w:val="333333"/>
          <w:sz w:val="24"/>
          <w:szCs w:val="24"/>
        </w:rPr>
        <w:t>ОТЧЕТА О ФИНАНСОВЫХ РЕЗУЛЬТАТАХ,</w:t>
      </w:r>
    </w:p>
    <w:p w:rsidR="00E6683A" w:rsidRDefault="00E6683A" w:rsidP="00E6683A">
      <w:pPr>
        <w:pStyle w:val="1"/>
        <w:shd w:val="clear" w:color="auto" w:fill="FFFFFF"/>
        <w:spacing w:before="0" w:beforeAutospacing="0" w:after="144" w:afterAutospacing="0" w:line="362" w:lineRule="atLeast"/>
        <w:jc w:val="center"/>
        <w:rPr>
          <w:rFonts w:ascii="Arial" w:hAnsi="Arial" w:cs="Arial"/>
          <w:color w:val="333333"/>
          <w:sz w:val="24"/>
          <w:szCs w:val="24"/>
        </w:rPr>
      </w:pPr>
      <w:r>
        <w:rPr>
          <w:rStyle w:val="blk"/>
          <w:rFonts w:ascii="Arial" w:hAnsi="Arial" w:cs="Arial"/>
          <w:color w:val="333333"/>
          <w:sz w:val="24"/>
          <w:szCs w:val="24"/>
        </w:rPr>
        <w:t>ОТЧЕТА О ЦЕЛЕВОМ ИСПОЛЬЗОВАНИИ СРЕДСТВ</w:t>
      </w:r>
    </w:p>
    <w:tbl>
      <w:tblPr>
        <w:tblW w:w="0" w:type="auto"/>
        <w:jc w:val="center"/>
        <w:tblCellSpacing w:w="15" w:type="dxa"/>
        <w:tblBorders>
          <w:top w:val="single" w:sz="6" w:space="0" w:color="B3B0A4"/>
          <w:left w:val="single" w:sz="6" w:space="0" w:color="B3B0A4"/>
          <w:bottom w:val="single" w:sz="6" w:space="0" w:color="B3B0A4"/>
          <w:right w:val="single" w:sz="6" w:space="0" w:color="B3B0A4"/>
        </w:tblBorders>
        <w:shd w:val="clear" w:color="auto" w:fill="F0F0E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3355"/>
      </w:tblGrid>
      <w:tr w:rsidR="00E6683A" w:rsidTr="00E6683A">
        <w:trPr>
          <w:trHeight w:val="345"/>
          <w:tblCellSpacing w:w="15" w:type="dxa"/>
          <w:jc w:val="center"/>
        </w:trPr>
        <w:tc>
          <w:tcPr>
            <w:tcW w:w="450" w:type="dxa"/>
            <w:shd w:val="clear" w:color="auto" w:fill="F0F0EB"/>
            <w:vAlign w:val="center"/>
            <w:hideMark/>
          </w:tcPr>
          <w:p w:rsidR="00E6683A" w:rsidRDefault="00E66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EB"/>
            <w:tcMar>
              <w:top w:w="30" w:type="dxa"/>
              <w:left w:w="30" w:type="dxa"/>
              <w:bottom w:w="30" w:type="dxa"/>
              <w:right w:w="150" w:type="dxa"/>
            </w:tcMar>
            <w:vAlign w:val="center"/>
            <w:hideMark/>
          </w:tcPr>
          <w:p w:rsidR="00E6683A" w:rsidRDefault="00E6683A">
            <w:pPr>
              <w:jc w:val="center"/>
              <w:rPr>
                <w:sz w:val="24"/>
                <w:szCs w:val="24"/>
              </w:rPr>
            </w:pPr>
            <w:r>
              <w:rPr>
                <w:rStyle w:val="blk"/>
              </w:rPr>
              <w:t>Список изменяющих документов</w:t>
            </w:r>
          </w:p>
        </w:tc>
      </w:tr>
    </w:tbl>
    <w:p w:rsidR="00E6683A" w:rsidRDefault="00E6683A" w:rsidP="00E6683A">
      <w:pPr>
        <w:jc w:val="center"/>
        <w:rPr>
          <w:rFonts w:ascii="Arial" w:hAnsi="Arial" w:cs="Arial"/>
          <w:color w:val="333333"/>
          <w:sz w:val="24"/>
          <w:szCs w:val="24"/>
        </w:rPr>
      </w:pPr>
      <w:r>
        <w:rPr>
          <w:rStyle w:val="blk"/>
          <w:rFonts w:ascii="Arial" w:hAnsi="Arial" w:cs="Arial"/>
          <w:color w:val="333333"/>
        </w:rPr>
        <w:t>(</w:t>
      </w:r>
      <w:proofErr w:type="gramStart"/>
      <w:r>
        <w:rPr>
          <w:rStyle w:val="blk"/>
          <w:rFonts w:ascii="Arial" w:hAnsi="Arial" w:cs="Arial"/>
          <w:color w:val="333333"/>
        </w:rPr>
        <w:t>введены</w:t>
      </w:r>
      <w:proofErr w:type="gramEnd"/>
      <w:r>
        <w:rPr>
          <w:rStyle w:val="blk"/>
          <w:rFonts w:ascii="Arial" w:hAnsi="Arial" w:cs="Arial"/>
          <w:color w:val="333333"/>
        </w:rPr>
        <w:t> </w:t>
      </w:r>
      <w:hyperlink r:id="rId11" w:anchor="dst100011" w:history="1">
        <w:r>
          <w:rPr>
            <w:rStyle w:val="a4"/>
            <w:rFonts w:ascii="Arial" w:hAnsi="Arial" w:cs="Arial"/>
            <w:color w:val="666699"/>
          </w:rPr>
          <w:t>Приказом</w:t>
        </w:r>
      </w:hyperlink>
      <w:r>
        <w:rPr>
          <w:rStyle w:val="blk"/>
          <w:rFonts w:ascii="Arial" w:hAnsi="Arial" w:cs="Arial"/>
          <w:color w:val="333333"/>
        </w:rPr>
        <w:t> Минфина России от 17.08.2012 N 113н;</w:t>
      </w:r>
    </w:p>
    <w:p w:rsidR="00E6683A" w:rsidRDefault="00E6683A" w:rsidP="00E6683A">
      <w:pPr>
        <w:jc w:val="center"/>
        <w:rPr>
          <w:rFonts w:ascii="Arial" w:hAnsi="Arial" w:cs="Arial"/>
          <w:color w:val="333333"/>
        </w:rPr>
      </w:pPr>
      <w:r>
        <w:rPr>
          <w:rStyle w:val="blk"/>
          <w:rFonts w:ascii="Arial" w:hAnsi="Arial" w:cs="Arial"/>
          <w:color w:val="333333"/>
        </w:rPr>
        <w:t>в ред. Приказов Минфина России от 06.04.2015 </w:t>
      </w:r>
      <w:hyperlink r:id="rId12" w:anchor="dst100103" w:history="1">
        <w:r>
          <w:rPr>
            <w:rStyle w:val="a4"/>
            <w:rFonts w:ascii="Arial" w:hAnsi="Arial" w:cs="Arial"/>
            <w:color w:val="666699"/>
          </w:rPr>
          <w:t>N 57н</w:t>
        </w:r>
      </w:hyperlink>
      <w:r>
        <w:rPr>
          <w:rStyle w:val="blk"/>
          <w:rFonts w:ascii="Arial" w:hAnsi="Arial" w:cs="Arial"/>
          <w:color w:val="333333"/>
        </w:rPr>
        <w:t>, от 19.04.2019 </w:t>
      </w:r>
      <w:hyperlink r:id="rId13" w:anchor="dst100102" w:history="1">
        <w:r>
          <w:rPr>
            <w:rStyle w:val="a4"/>
            <w:rFonts w:ascii="Arial" w:hAnsi="Arial" w:cs="Arial"/>
            <w:color w:val="666699"/>
          </w:rPr>
          <w:t>N 61н</w:t>
        </w:r>
      </w:hyperlink>
      <w:r>
        <w:rPr>
          <w:rStyle w:val="blk"/>
          <w:rFonts w:ascii="Arial" w:hAnsi="Arial" w:cs="Arial"/>
          <w:color w:val="333333"/>
        </w:rPr>
        <w:t>)</w:t>
      </w:r>
    </w:p>
    <w:tbl>
      <w:tblPr>
        <w:tblW w:w="0" w:type="auto"/>
        <w:jc w:val="center"/>
        <w:tblCellSpacing w:w="15" w:type="dxa"/>
        <w:tblBorders>
          <w:top w:val="single" w:sz="6" w:space="0" w:color="B3B0A4"/>
          <w:left w:val="single" w:sz="6" w:space="0" w:color="B3B0A4"/>
          <w:bottom w:val="single" w:sz="6" w:space="0" w:color="B3B0A4"/>
          <w:right w:val="single" w:sz="6" w:space="0" w:color="B3B0A4"/>
        </w:tblBorders>
        <w:shd w:val="clear" w:color="auto" w:fill="F0F0E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3355"/>
      </w:tblGrid>
      <w:tr w:rsidR="00E6683A" w:rsidTr="00E6683A">
        <w:trPr>
          <w:trHeight w:val="345"/>
          <w:tblCellSpacing w:w="15" w:type="dxa"/>
          <w:jc w:val="center"/>
        </w:trPr>
        <w:tc>
          <w:tcPr>
            <w:tcW w:w="450" w:type="dxa"/>
            <w:shd w:val="clear" w:color="auto" w:fill="F0F0EB"/>
            <w:vAlign w:val="center"/>
            <w:hideMark/>
          </w:tcPr>
          <w:p w:rsidR="00E6683A" w:rsidRDefault="00E66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EB"/>
            <w:tcMar>
              <w:top w:w="30" w:type="dxa"/>
              <w:left w:w="30" w:type="dxa"/>
              <w:bottom w:w="30" w:type="dxa"/>
              <w:right w:w="150" w:type="dxa"/>
            </w:tcMar>
            <w:vAlign w:val="center"/>
            <w:hideMark/>
          </w:tcPr>
          <w:p w:rsidR="00E6683A" w:rsidRDefault="00E6683A">
            <w:pPr>
              <w:jc w:val="center"/>
              <w:rPr>
                <w:sz w:val="24"/>
                <w:szCs w:val="24"/>
              </w:rPr>
            </w:pPr>
            <w:r>
              <w:rPr>
                <w:rStyle w:val="blk"/>
              </w:rPr>
              <w:t>Список изменяющих документов</w:t>
            </w:r>
          </w:p>
        </w:tc>
      </w:tr>
    </w:tbl>
    <w:p w:rsidR="00E6683A" w:rsidRDefault="00E6683A" w:rsidP="00E6683A">
      <w:pPr>
        <w:jc w:val="center"/>
        <w:rPr>
          <w:rFonts w:ascii="Arial" w:hAnsi="Arial" w:cs="Arial"/>
          <w:color w:val="333333"/>
        </w:rPr>
      </w:pPr>
      <w:proofErr w:type="gramStart"/>
      <w:r>
        <w:rPr>
          <w:rStyle w:val="blk"/>
          <w:rFonts w:ascii="Arial" w:hAnsi="Arial" w:cs="Arial"/>
          <w:color w:val="333333"/>
        </w:rPr>
        <w:t>(в ред. Приказов Минфина России от 06.04.2015 </w:t>
      </w:r>
      <w:hyperlink r:id="rId14" w:anchor="dst100104" w:history="1">
        <w:r>
          <w:rPr>
            <w:rStyle w:val="a4"/>
            <w:rFonts w:ascii="Arial" w:hAnsi="Arial" w:cs="Arial"/>
            <w:color w:val="666699"/>
          </w:rPr>
          <w:t>N 57н</w:t>
        </w:r>
      </w:hyperlink>
      <w:r>
        <w:rPr>
          <w:rStyle w:val="blk"/>
          <w:rFonts w:ascii="Arial" w:hAnsi="Arial" w:cs="Arial"/>
          <w:color w:val="333333"/>
        </w:rPr>
        <w:t>,</w:t>
      </w:r>
      <w:proofErr w:type="gramEnd"/>
    </w:p>
    <w:p w:rsidR="00E6683A" w:rsidRDefault="00E6683A" w:rsidP="00E6683A">
      <w:pPr>
        <w:jc w:val="center"/>
        <w:rPr>
          <w:rFonts w:ascii="Arial" w:hAnsi="Arial" w:cs="Arial"/>
          <w:color w:val="333333"/>
        </w:rPr>
      </w:pPr>
      <w:r>
        <w:rPr>
          <w:rStyle w:val="blk"/>
          <w:rFonts w:ascii="Arial" w:hAnsi="Arial" w:cs="Arial"/>
          <w:color w:val="333333"/>
        </w:rPr>
        <w:t>от 19.04.2019 </w:t>
      </w:r>
      <w:hyperlink r:id="rId15" w:anchor="dst100103" w:history="1">
        <w:r>
          <w:rPr>
            <w:rStyle w:val="a4"/>
            <w:rFonts w:ascii="Arial" w:hAnsi="Arial" w:cs="Arial"/>
            <w:color w:val="666699"/>
          </w:rPr>
          <w:t>N 61н</w:t>
        </w:r>
      </w:hyperlink>
      <w:r>
        <w:rPr>
          <w:rStyle w:val="blk"/>
          <w:rFonts w:ascii="Arial" w:hAnsi="Arial" w:cs="Arial"/>
          <w:color w:val="333333"/>
        </w:rPr>
        <w:t>)</w:t>
      </w:r>
    </w:p>
    <w:p w:rsidR="00E6683A" w:rsidRDefault="00E6683A" w:rsidP="00BE5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83A" w:rsidRPr="00E6683A" w:rsidRDefault="00E6683A" w:rsidP="00E6683A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Приложение</w:t>
      </w:r>
    </w:p>
    <w:p w:rsidR="00E6683A" w:rsidRPr="00E6683A" w:rsidRDefault="00E6683A" w:rsidP="00E6683A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приказу Министерства финансов</w:t>
      </w:r>
    </w:p>
    <w:p w:rsidR="00E6683A" w:rsidRPr="00E6683A" w:rsidRDefault="00E6683A" w:rsidP="00E6683A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Российской Федерации</w:t>
      </w:r>
    </w:p>
    <w:p w:rsidR="00E6683A" w:rsidRPr="00E6683A" w:rsidRDefault="00E6683A" w:rsidP="00E6683A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19.04.2019 N 61н</w:t>
      </w:r>
    </w:p>
    <w:p w:rsidR="00E6683A" w:rsidRPr="00E6683A" w:rsidRDefault="00E6683A" w:rsidP="00E6683A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6683A" w:rsidRPr="00E6683A" w:rsidRDefault="00E6683A" w:rsidP="00E6683A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5" w:name="dst100010"/>
      <w:bookmarkEnd w:id="5"/>
      <w:r w:rsidRPr="00E6683A"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  <w:t>ИЗМЕНЕНИЯ</w:t>
      </w:r>
    </w:p>
    <w:p w:rsidR="00E6683A" w:rsidRPr="00E6683A" w:rsidRDefault="00E6683A" w:rsidP="00E6683A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E6683A"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  <w:t>В ПРИКАЗ МИНИСТЕРСТВА ФИНАНСОВ РОССИЙСКОЙ ФЕДЕРАЦИИ</w:t>
      </w:r>
    </w:p>
    <w:p w:rsidR="00E6683A" w:rsidRPr="00E6683A" w:rsidRDefault="00E6683A" w:rsidP="00E6683A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E6683A"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  <w:t xml:space="preserve">ОТ 2 ИЮЛЯ 2010 Г. N 66Н "О ФОРМАХ </w:t>
      </w:r>
      <w:proofErr w:type="gramStart"/>
      <w:r w:rsidRPr="00E6683A"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  <w:t>БУХГАЛТЕРСКОЙ</w:t>
      </w:r>
      <w:proofErr w:type="gramEnd"/>
    </w:p>
    <w:p w:rsidR="00E6683A" w:rsidRPr="00E6683A" w:rsidRDefault="00E6683A" w:rsidP="00E6683A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E6683A"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  <w:t>ОТЧЕТНОСТИ ОРГАНИЗАЦИЙ"</w:t>
      </w:r>
    </w:p>
    <w:p w:rsidR="00E6683A" w:rsidRDefault="00E6683A" w:rsidP="00BE5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83A" w:rsidRDefault="00E6683A" w:rsidP="00E6683A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</w:rPr>
      </w:pPr>
      <w:r>
        <w:rPr>
          <w:rStyle w:val="blk"/>
          <w:rFonts w:ascii="Arial" w:hAnsi="Arial" w:cs="Arial"/>
          <w:color w:val="333333"/>
        </w:rPr>
        <w:t>7. В приложении N 5 к приказу:</w:t>
      </w:r>
    </w:p>
    <w:p w:rsidR="00E6683A" w:rsidRDefault="00E6683A" w:rsidP="00E6683A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</w:rPr>
      </w:pPr>
      <w:bookmarkStart w:id="6" w:name="dst100103"/>
      <w:bookmarkEnd w:id="6"/>
      <w:r>
        <w:rPr>
          <w:rStyle w:val="blk"/>
          <w:rFonts w:ascii="Arial" w:hAnsi="Arial" w:cs="Arial"/>
          <w:color w:val="333333"/>
        </w:rPr>
        <w:t>1) в заголовочной части формы бухгалтерского баланса:</w:t>
      </w:r>
    </w:p>
    <w:p w:rsidR="00E6683A" w:rsidRDefault="00E6683A" w:rsidP="00E6683A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</w:rPr>
      </w:pPr>
      <w:bookmarkStart w:id="7" w:name="dst100104"/>
      <w:bookmarkEnd w:id="7"/>
      <w:r>
        <w:rPr>
          <w:rStyle w:val="blk"/>
          <w:rFonts w:ascii="Arial" w:hAnsi="Arial" w:cs="Arial"/>
          <w:color w:val="333333"/>
        </w:rPr>
        <w:t>слова "по ОКВЭД" заменить словами "по </w:t>
      </w:r>
      <w:hyperlink r:id="rId16" w:anchor="dst0" w:history="1">
        <w:r>
          <w:rPr>
            <w:rStyle w:val="a4"/>
            <w:rFonts w:ascii="Arial" w:hAnsi="Arial" w:cs="Arial"/>
            <w:color w:val="666699"/>
            <w:u w:val="none"/>
          </w:rPr>
          <w:t>ОКВЭД 2</w:t>
        </w:r>
      </w:hyperlink>
      <w:r>
        <w:rPr>
          <w:rStyle w:val="blk"/>
          <w:rFonts w:ascii="Arial" w:hAnsi="Arial" w:cs="Arial"/>
          <w:color w:val="333333"/>
        </w:rPr>
        <w:t>";</w:t>
      </w:r>
    </w:p>
    <w:p w:rsidR="00E6683A" w:rsidRDefault="00E6683A" w:rsidP="00E6683A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</w:rPr>
      </w:pPr>
      <w:bookmarkStart w:id="8" w:name="dst100105"/>
      <w:bookmarkEnd w:id="8"/>
      <w:r>
        <w:rPr>
          <w:rStyle w:val="blk"/>
          <w:rFonts w:ascii="Arial" w:hAnsi="Arial" w:cs="Arial"/>
          <w:color w:val="333333"/>
        </w:rPr>
        <w:t>слова "(млн. руб.)" исключить;</w:t>
      </w:r>
    </w:p>
    <w:p w:rsidR="00E6683A" w:rsidRDefault="00E6683A" w:rsidP="00E6683A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</w:rPr>
      </w:pPr>
      <w:bookmarkStart w:id="9" w:name="dst100106"/>
      <w:bookmarkEnd w:id="9"/>
      <w:r>
        <w:rPr>
          <w:rStyle w:val="blk"/>
          <w:rFonts w:ascii="Arial" w:hAnsi="Arial" w:cs="Arial"/>
          <w:color w:val="333333"/>
        </w:rPr>
        <w:t>код "(385)" исключить;</w:t>
      </w:r>
    </w:p>
    <w:p w:rsidR="00E6683A" w:rsidRDefault="00E6683A" w:rsidP="00E6683A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</w:rPr>
      </w:pPr>
      <w:bookmarkStart w:id="10" w:name="dst100107"/>
      <w:bookmarkEnd w:id="10"/>
      <w:r>
        <w:rPr>
          <w:rStyle w:val="blk"/>
          <w:rFonts w:ascii="Arial" w:hAnsi="Arial" w:cs="Arial"/>
          <w:color w:val="333333"/>
        </w:rPr>
        <w:t>2) в заголовочной части формы отчета о финансовых результатах:</w:t>
      </w:r>
    </w:p>
    <w:p w:rsidR="00E6683A" w:rsidRDefault="00E6683A" w:rsidP="00E6683A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</w:rPr>
      </w:pPr>
      <w:bookmarkStart w:id="11" w:name="dst100108"/>
      <w:bookmarkEnd w:id="11"/>
      <w:r>
        <w:rPr>
          <w:rStyle w:val="blk"/>
          <w:rFonts w:ascii="Arial" w:hAnsi="Arial" w:cs="Arial"/>
          <w:color w:val="333333"/>
        </w:rPr>
        <w:t>слова "по ОКВЭД" заменить словами "по </w:t>
      </w:r>
      <w:hyperlink r:id="rId17" w:anchor="dst0" w:history="1">
        <w:r>
          <w:rPr>
            <w:rStyle w:val="a4"/>
            <w:rFonts w:ascii="Arial" w:hAnsi="Arial" w:cs="Arial"/>
            <w:color w:val="666699"/>
            <w:u w:val="none"/>
          </w:rPr>
          <w:t>ОКВЭД 2</w:t>
        </w:r>
      </w:hyperlink>
      <w:r>
        <w:rPr>
          <w:rStyle w:val="blk"/>
          <w:rFonts w:ascii="Arial" w:hAnsi="Arial" w:cs="Arial"/>
          <w:color w:val="333333"/>
        </w:rPr>
        <w:t>";</w:t>
      </w:r>
    </w:p>
    <w:p w:rsidR="00E6683A" w:rsidRDefault="00E6683A" w:rsidP="00E6683A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</w:rPr>
      </w:pPr>
      <w:bookmarkStart w:id="12" w:name="dst100109"/>
      <w:bookmarkEnd w:id="12"/>
      <w:r>
        <w:rPr>
          <w:rStyle w:val="blk"/>
          <w:rFonts w:ascii="Arial" w:hAnsi="Arial" w:cs="Arial"/>
          <w:color w:val="333333"/>
        </w:rPr>
        <w:t>слова "(млн. руб.)" исключить;</w:t>
      </w:r>
    </w:p>
    <w:p w:rsidR="00E6683A" w:rsidRDefault="00E6683A" w:rsidP="00E6683A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</w:rPr>
      </w:pPr>
      <w:bookmarkStart w:id="13" w:name="dst100110"/>
      <w:bookmarkEnd w:id="13"/>
      <w:r>
        <w:rPr>
          <w:rStyle w:val="blk"/>
          <w:rFonts w:ascii="Arial" w:hAnsi="Arial" w:cs="Arial"/>
          <w:color w:val="333333"/>
        </w:rPr>
        <w:t>код "(385)" исключить;</w:t>
      </w:r>
    </w:p>
    <w:p w:rsidR="00E6683A" w:rsidRDefault="00E6683A" w:rsidP="00E6683A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</w:rPr>
      </w:pPr>
      <w:bookmarkStart w:id="14" w:name="dst100111"/>
      <w:bookmarkEnd w:id="14"/>
      <w:r>
        <w:rPr>
          <w:rStyle w:val="blk"/>
          <w:rFonts w:ascii="Arial" w:hAnsi="Arial" w:cs="Arial"/>
          <w:color w:val="333333"/>
        </w:rPr>
        <w:t>3) в заголовочной части формы отчета о целевом использовании средств:</w:t>
      </w:r>
    </w:p>
    <w:p w:rsidR="00E6683A" w:rsidRDefault="00E6683A" w:rsidP="00E6683A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</w:rPr>
      </w:pPr>
      <w:bookmarkStart w:id="15" w:name="dst100112"/>
      <w:bookmarkEnd w:id="15"/>
      <w:r>
        <w:rPr>
          <w:rStyle w:val="blk"/>
          <w:rFonts w:ascii="Arial" w:hAnsi="Arial" w:cs="Arial"/>
          <w:color w:val="333333"/>
        </w:rPr>
        <w:lastRenderedPageBreak/>
        <w:t>слова "по ОКВЭД" заменить словами "по </w:t>
      </w:r>
      <w:hyperlink r:id="rId18" w:anchor="dst0" w:history="1">
        <w:r>
          <w:rPr>
            <w:rStyle w:val="a4"/>
            <w:rFonts w:ascii="Arial" w:hAnsi="Arial" w:cs="Arial"/>
            <w:color w:val="666699"/>
            <w:u w:val="none"/>
          </w:rPr>
          <w:t>ОКВЭД 2</w:t>
        </w:r>
      </w:hyperlink>
      <w:r>
        <w:rPr>
          <w:rStyle w:val="blk"/>
          <w:rFonts w:ascii="Arial" w:hAnsi="Arial" w:cs="Arial"/>
          <w:color w:val="333333"/>
        </w:rPr>
        <w:t>";</w:t>
      </w:r>
    </w:p>
    <w:p w:rsidR="00E6683A" w:rsidRDefault="00E6683A" w:rsidP="00E6683A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</w:rPr>
      </w:pPr>
      <w:bookmarkStart w:id="16" w:name="dst100113"/>
      <w:bookmarkEnd w:id="16"/>
      <w:r>
        <w:rPr>
          <w:rStyle w:val="blk"/>
          <w:rFonts w:ascii="Arial" w:hAnsi="Arial" w:cs="Arial"/>
          <w:color w:val="333333"/>
        </w:rPr>
        <w:t>слова "(млн. руб.)" исключить;</w:t>
      </w:r>
    </w:p>
    <w:p w:rsidR="00E6683A" w:rsidRDefault="00E6683A" w:rsidP="00E6683A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</w:rPr>
      </w:pPr>
      <w:bookmarkStart w:id="17" w:name="dst100114"/>
      <w:bookmarkEnd w:id="17"/>
      <w:r>
        <w:rPr>
          <w:rStyle w:val="blk"/>
          <w:rFonts w:ascii="Arial" w:hAnsi="Arial" w:cs="Arial"/>
          <w:color w:val="333333"/>
        </w:rPr>
        <w:t>код "0710006" заменить кодом "0710003";</w:t>
      </w:r>
    </w:p>
    <w:p w:rsidR="00E6683A" w:rsidRDefault="00E6683A" w:rsidP="00E6683A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</w:rPr>
      </w:pPr>
      <w:bookmarkStart w:id="18" w:name="dst100115"/>
      <w:bookmarkEnd w:id="18"/>
      <w:r>
        <w:rPr>
          <w:rStyle w:val="blk"/>
          <w:rFonts w:ascii="Arial" w:hAnsi="Arial" w:cs="Arial"/>
          <w:color w:val="333333"/>
        </w:rPr>
        <w:t>код "(385)" исключить;</w:t>
      </w:r>
    </w:p>
    <w:p w:rsidR="00E6683A" w:rsidRDefault="00E6683A" w:rsidP="00E6683A">
      <w:pPr>
        <w:shd w:val="clear" w:color="auto" w:fill="F4F3F8"/>
        <w:spacing w:line="240" w:lineRule="auto"/>
        <w:jc w:val="both"/>
        <w:rPr>
          <w:rFonts w:ascii="Arial" w:hAnsi="Arial" w:cs="Arial"/>
          <w:color w:val="333333"/>
        </w:rPr>
      </w:pPr>
      <w:proofErr w:type="spellStart"/>
      <w:r>
        <w:rPr>
          <w:rStyle w:val="blk"/>
          <w:rFonts w:ascii="Arial" w:hAnsi="Arial" w:cs="Arial"/>
          <w:color w:val="333333"/>
        </w:rPr>
        <w:t>КонсультантПлюс</w:t>
      </w:r>
      <w:proofErr w:type="spellEnd"/>
      <w:r>
        <w:rPr>
          <w:rStyle w:val="blk"/>
          <w:rFonts w:ascii="Arial" w:hAnsi="Arial" w:cs="Arial"/>
          <w:color w:val="333333"/>
        </w:rPr>
        <w:t>: примечание.</w:t>
      </w:r>
    </w:p>
    <w:p w:rsidR="00E6683A" w:rsidRDefault="00E6683A" w:rsidP="00E6683A">
      <w:pPr>
        <w:shd w:val="clear" w:color="auto" w:fill="F4F3F8"/>
        <w:jc w:val="both"/>
        <w:rPr>
          <w:rFonts w:ascii="Arial" w:hAnsi="Arial" w:cs="Arial"/>
          <w:color w:val="333333"/>
        </w:rPr>
      </w:pPr>
      <w:proofErr w:type="spellStart"/>
      <w:r>
        <w:rPr>
          <w:rStyle w:val="blk"/>
          <w:rFonts w:ascii="Arial" w:hAnsi="Arial" w:cs="Arial"/>
          <w:color w:val="333333"/>
        </w:rPr>
        <w:t>Пп</w:t>
      </w:r>
      <w:proofErr w:type="spellEnd"/>
      <w:r>
        <w:rPr>
          <w:rStyle w:val="blk"/>
          <w:rFonts w:ascii="Arial" w:hAnsi="Arial" w:cs="Arial"/>
          <w:color w:val="333333"/>
        </w:rPr>
        <w:t>. 4 п. 7 </w:t>
      </w:r>
      <w:hyperlink r:id="rId19" w:anchor="dst100007" w:history="1">
        <w:proofErr w:type="gramStart"/>
        <w:r>
          <w:rPr>
            <w:rStyle w:val="a4"/>
            <w:rFonts w:ascii="Arial" w:hAnsi="Arial" w:cs="Arial"/>
            <w:color w:val="666699"/>
            <w:u w:val="none"/>
          </w:rPr>
          <w:t>применяется</w:t>
        </w:r>
        <w:proofErr w:type="gramEnd"/>
      </w:hyperlink>
      <w:r>
        <w:rPr>
          <w:rStyle w:val="blk"/>
          <w:rFonts w:ascii="Arial" w:hAnsi="Arial" w:cs="Arial"/>
          <w:color w:val="333333"/>
        </w:rPr>
        <w:t> начиная с бухгалтерской отчетности за 2020 год. Организация вправе принять решение о применении изменений до указанного срока.</w:t>
      </w:r>
    </w:p>
    <w:p w:rsidR="00E6683A" w:rsidRDefault="00E6683A" w:rsidP="00E6683A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</w:rPr>
      </w:pPr>
      <w:bookmarkStart w:id="19" w:name="dst100116"/>
      <w:bookmarkEnd w:id="19"/>
      <w:r>
        <w:rPr>
          <w:rStyle w:val="blk"/>
          <w:rFonts w:ascii="Arial" w:hAnsi="Arial" w:cs="Arial"/>
          <w:color w:val="333333"/>
        </w:rPr>
        <w:t>4) в </w:t>
      </w:r>
      <w:hyperlink r:id="rId20" w:anchor="dst230" w:history="1">
        <w:r>
          <w:rPr>
            <w:rStyle w:val="a4"/>
            <w:rFonts w:ascii="Arial" w:hAnsi="Arial" w:cs="Arial"/>
            <w:color w:val="666699"/>
            <w:u w:val="none"/>
          </w:rPr>
          <w:t>пункте 9</w:t>
        </w:r>
      </w:hyperlink>
      <w:r>
        <w:rPr>
          <w:rStyle w:val="blk"/>
          <w:rFonts w:ascii="Arial" w:hAnsi="Arial" w:cs="Arial"/>
          <w:color w:val="333333"/>
        </w:rPr>
        <w:t> примечаний слова "изменение отложенных налоговых обязательств и активов" заменить словами "отложенный налог на прибыль".</w:t>
      </w:r>
    </w:p>
    <w:p w:rsidR="00E6683A" w:rsidRDefault="00E6683A" w:rsidP="00E6683A">
      <w:pPr>
        <w:shd w:val="clear" w:color="auto" w:fill="FFFFFF"/>
        <w:spacing w:line="290" w:lineRule="atLeast"/>
        <w:jc w:val="both"/>
        <w:rPr>
          <w:rFonts w:ascii="Arial" w:hAnsi="Arial" w:cs="Arial"/>
          <w:color w:val="333333"/>
        </w:rPr>
      </w:pPr>
      <w:r>
        <w:rPr>
          <w:rStyle w:val="nobr"/>
          <w:rFonts w:ascii="Arial" w:hAnsi="Arial" w:cs="Arial"/>
          <w:color w:val="333333"/>
        </w:rPr>
        <w:t> </w:t>
      </w:r>
    </w:p>
    <w:p w:rsidR="00DB1D44" w:rsidRDefault="00DB1D44" w:rsidP="00DB1D44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36"/>
          <w:szCs w:val="36"/>
          <w:shd w:val="clear" w:color="auto" w:fill="FFFFFF"/>
        </w:rPr>
        <w:t>19. Маргарита Николаевна К.</w:t>
      </w:r>
    </w:p>
    <w:p w:rsidR="00DB1D44" w:rsidRDefault="00DB1D44" w:rsidP="00DB1D44">
      <w:pPr>
        <w:pStyle w:val="a3"/>
        <w:spacing w:before="0" w:beforeAutospacing="0" w:after="0" w:afterAutospacing="0"/>
        <w:jc w:val="both"/>
      </w:pPr>
      <w:r>
        <w:rPr>
          <w:b/>
          <w:bCs/>
          <w:color w:val="FF0000"/>
          <w:sz w:val="36"/>
          <w:szCs w:val="36"/>
          <w:shd w:val="clear" w:color="auto" w:fill="FFFFFF"/>
        </w:rPr>
        <w:t>НЕВЕРОВ</w:t>
      </w:r>
    </w:p>
    <w:p w:rsidR="00DB1D44" w:rsidRDefault="00DB1D44" w:rsidP="00DB1D44">
      <w:pPr>
        <w:pStyle w:val="a3"/>
        <w:spacing w:before="0" w:beforeAutospacing="0" w:after="0" w:afterAutospacing="0"/>
        <w:jc w:val="both"/>
      </w:pPr>
      <w:r>
        <w:rPr>
          <w:color w:val="000000"/>
          <w:sz w:val="36"/>
          <w:szCs w:val="36"/>
          <w:shd w:val="clear" w:color="auto" w:fill="FFFFFF"/>
        </w:rPr>
        <w:t xml:space="preserve">НКО заказала услугу по оформлению экспертного заключения на подушку для вскармливания младенцев от ООО </w:t>
      </w:r>
      <w:proofErr w:type="spellStart"/>
      <w:r>
        <w:rPr>
          <w:color w:val="000000"/>
          <w:sz w:val="36"/>
          <w:szCs w:val="36"/>
          <w:shd w:val="clear" w:color="auto" w:fill="FFFFFF"/>
        </w:rPr>
        <w:t>Серт-Телеком</w:t>
      </w:r>
      <w:proofErr w:type="spellEnd"/>
      <w:r>
        <w:rPr>
          <w:color w:val="000000"/>
          <w:sz w:val="36"/>
          <w:szCs w:val="36"/>
          <w:shd w:val="clear" w:color="auto" w:fill="FFFFFF"/>
        </w:rPr>
        <w:t>. Стоимость услуги до 30 тр.</w:t>
      </w:r>
    </w:p>
    <w:p w:rsidR="00DB1D44" w:rsidRDefault="00DB1D44" w:rsidP="00DB1D44">
      <w:pPr>
        <w:pStyle w:val="a3"/>
        <w:spacing w:before="0" w:beforeAutospacing="0" w:after="0" w:afterAutospacing="0"/>
        <w:jc w:val="both"/>
      </w:pPr>
      <w:r>
        <w:rPr>
          <w:color w:val="000000"/>
          <w:sz w:val="36"/>
          <w:szCs w:val="36"/>
          <w:shd w:val="clear" w:color="auto" w:fill="FFFFFF"/>
        </w:rPr>
        <w:t>Каким образом оформить этот расход? Отнести к НМА, на 97 счёт или просто списать единовременно?</w:t>
      </w:r>
    </w:p>
    <w:p w:rsidR="00E6683A" w:rsidRPr="00BE5A68" w:rsidRDefault="00E6683A" w:rsidP="00BE5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6683A" w:rsidRPr="00BE5A68" w:rsidSect="00C77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61B71"/>
    <w:multiLevelType w:val="multilevel"/>
    <w:tmpl w:val="FB047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024132"/>
    <w:multiLevelType w:val="multilevel"/>
    <w:tmpl w:val="DD1C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C439A7"/>
    <w:multiLevelType w:val="multilevel"/>
    <w:tmpl w:val="F0D838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FB4781"/>
    <w:multiLevelType w:val="multilevel"/>
    <w:tmpl w:val="AC0C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5E62B0"/>
    <w:multiLevelType w:val="multilevel"/>
    <w:tmpl w:val="70A4B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A68"/>
    <w:rsid w:val="00195C42"/>
    <w:rsid w:val="00395E25"/>
    <w:rsid w:val="00400279"/>
    <w:rsid w:val="004C0391"/>
    <w:rsid w:val="0059357F"/>
    <w:rsid w:val="007F03F9"/>
    <w:rsid w:val="00833774"/>
    <w:rsid w:val="00B30E3B"/>
    <w:rsid w:val="00BE5A68"/>
    <w:rsid w:val="00BF1FD2"/>
    <w:rsid w:val="00C77125"/>
    <w:rsid w:val="00DB1D44"/>
    <w:rsid w:val="00E6683A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25"/>
  </w:style>
  <w:style w:type="paragraph" w:styleId="1">
    <w:name w:val="heading 1"/>
    <w:basedOn w:val="a"/>
    <w:link w:val="10"/>
    <w:uiPriority w:val="9"/>
    <w:qFormat/>
    <w:rsid w:val="00E66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357F"/>
    <w:rPr>
      <w:color w:val="0000FF"/>
      <w:u w:val="single"/>
    </w:rPr>
  </w:style>
  <w:style w:type="character" w:customStyle="1" w:styleId="quote-autor">
    <w:name w:val="quote-autor"/>
    <w:basedOn w:val="a0"/>
    <w:rsid w:val="00400279"/>
  </w:style>
  <w:style w:type="paragraph" w:customStyle="1" w:styleId="insert">
    <w:name w:val="insert"/>
    <w:basedOn w:val="a"/>
    <w:rsid w:val="00E66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6683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668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E6683A"/>
  </w:style>
  <w:style w:type="character" w:customStyle="1" w:styleId="nobr">
    <w:name w:val="nobr"/>
    <w:basedOn w:val="a0"/>
    <w:rsid w:val="00E6683A"/>
  </w:style>
  <w:style w:type="character" w:customStyle="1" w:styleId="hl">
    <w:name w:val="hl"/>
    <w:basedOn w:val="a0"/>
    <w:rsid w:val="00FF70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6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95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179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9336">
                  <w:marLeft w:val="0"/>
                  <w:marRight w:val="0"/>
                  <w:marTop w:val="0"/>
                  <w:marBottom w:val="0"/>
                  <w:divBdr>
                    <w:top w:val="single" w:sz="6" w:space="10" w:color="B3B0A4"/>
                    <w:left w:val="single" w:sz="6" w:space="6" w:color="B3B0A4"/>
                    <w:bottom w:val="single" w:sz="6" w:space="0" w:color="B3B0A4"/>
                    <w:right w:val="single" w:sz="6" w:space="4" w:color="B3B0A4"/>
                  </w:divBdr>
                </w:div>
              </w:divsChild>
            </w:div>
          </w:divsChild>
        </w:div>
        <w:div w:id="1585265515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65">
                  <w:marLeft w:val="0"/>
                  <w:marRight w:val="0"/>
                  <w:marTop w:val="0"/>
                  <w:marBottom w:val="0"/>
                  <w:divBdr>
                    <w:top w:val="single" w:sz="6" w:space="10" w:color="B3B0A4"/>
                    <w:left w:val="single" w:sz="6" w:space="6" w:color="B3B0A4"/>
                    <w:bottom w:val="single" w:sz="6" w:space="0" w:color="B3B0A4"/>
                    <w:right w:val="single" w:sz="6" w:space="4" w:color="B3B0A4"/>
                  </w:divBdr>
                </w:div>
              </w:divsChild>
            </w:div>
          </w:divsChild>
        </w:div>
      </w:divsChild>
    </w:div>
    <w:div w:id="650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5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9332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5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9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8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7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8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4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7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0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8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889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36733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7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3394/" TargetMode="External"/><Relationship Id="rId13" Type="http://schemas.openxmlformats.org/officeDocument/2006/relationships/hyperlink" Target="http://www.consultant.ru/document/cons_doc_LAW_324817/b4493092fad55ae12ae1d63a2e49667efaa01594/" TargetMode="External"/><Relationship Id="rId18" Type="http://schemas.openxmlformats.org/officeDocument/2006/relationships/hyperlink" Target="http://www.consultant.ru/document/cons_doc_LAW_322332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onsultant.ru/document/cons_doc_LAW_329339/4721eaf980204a7ee93eb51b30688e14998af84a/" TargetMode="External"/><Relationship Id="rId12" Type="http://schemas.openxmlformats.org/officeDocument/2006/relationships/hyperlink" Target="http://www.consultant.ru/document/cons_doc_LAW_179066/148952d741cfbd1c73818bbc5e6b291a9c4cf299/" TargetMode="External"/><Relationship Id="rId17" Type="http://schemas.openxmlformats.org/officeDocument/2006/relationships/hyperlink" Target="http://www.consultant.ru/document/cons_doc_LAW_322332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22332/" TargetMode="External"/><Relationship Id="rId20" Type="http://schemas.openxmlformats.org/officeDocument/2006/relationships/hyperlink" Target="http://www.consultant.ru/document/cons_doc_LAW_324951/419c4f9214cacf0f945e83f3668dfd792a97e00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74034/5094bcde2a906064402ba40eb62a3a3d4054092d/" TargetMode="External"/><Relationship Id="rId11" Type="http://schemas.openxmlformats.org/officeDocument/2006/relationships/hyperlink" Target="http://www.consultant.ru/document/cons_doc_LAW_136165/2ff7a8c72de3994f30496a0ccbb1ddafdaddf518/" TargetMode="External"/><Relationship Id="rId5" Type="http://schemas.openxmlformats.org/officeDocument/2006/relationships/hyperlink" Target="http://www.consultant.ru/document/cons_doc_LAW_9027/" TargetMode="External"/><Relationship Id="rId15" Type="http://schemas.openxmlformats.org/officeDocument/2006/relationships/hyperlink" Target="http://www.consultant.ru/document/cons_doc_LAW_324817/b4493092fad55ae12ae1d63a2e49667efaa01594/" TargetMode="External"/><Relationship Id="rId10" Type="http://schemas.openxmlformats.org/officeDocument/2006/relationships/hyperlink" Target="http://www.consultant.ru/cons/RTFCACHE/LAW324951_15_20190802_171922.XLS" TargetMode="External"/><Relationship Id="rId19" Type="http://schemas.openxmlformats.org/officeDocument/2006/relationships/hyperlink" Target="http://www.consultant.ru/document/cons_doc_LAW_324817/2ff7a8c72de3994f30496a0ccbb1ddafdaddf51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RTFCACHE/LAW324951_14_20190802_171922.XLS" TargetMode="External"/><Relationship Id="rId14" Type="http://schemas.openxmlformats.org/officeDocument/2006/relationships/hyperlink" Target="http://www.consultant.ru/document/cons_doc_LAW_179066/148952d741cfbd1c73818bbc5e6b291a9c4cf299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2910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8</cp:revision>
  <dcterms:created xsi:type="dcterms:W3CDTF">2019-09-02T21:56:00Z</dcterms:created>
  <dcterms:modified xsi:type="dcterms:W3CDTF">2019-09-03T09:59:00Z</dcterms:modified>
</cp:coreProperties>
</file>