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9A" w:rsidRDefault="00E8669A" w:rsidP="00A24C7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 1.3.3.</w:t>
      </w:r>
    </w:p>
    <w:p w:rsidR="00E8669A" w:rsidRDefault="00E8669A" w:rsidP="00A24C7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669A" w:rsidRPr="00E8669A" w:rsidRDefault="00E8669A" w:rsidP="00E8669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8669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ФЕДЕРАЛЬНЫЙ ЗАКОН</w:t>
      </w:r>
      <w:bookmarkStart w:id="0" w:name="dst100005"/>
      <w:bookmarkEnd w:id="0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BF2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r w:rsidRPr="00E8669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НЕКОММЕРЧЕСКИХ ОРГАНИЗАЦИЯХ</w:t>
      </w:r>
      <w:r w:rsidR="00BF2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№7-ФЗ</w:t>
      </w:r>
    </w:p>
    <w:p w:rsidR="00E8669A" w:rsidRDefault="00E8669A" w:rsidP="00E8669A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E8669A" w:rsidRPr="00E8669A" w:rsidRDefault="00E8669A" w:rsidP="00E8669A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8669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2. Некоммерческая организация</w:t>
      </w:r>
    </w:p>
    <w:p w:rsidR="00E8669A" w:rsidRPr="00E8669A" w:rsidRDefault="00E8669A" w:rsidP="00E8669A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669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  <w:bookmarkStart w:id="1" w:name="dst100014"/>
      <w:bookmarkEnd w:id="1"/>
      <w:r w:rsidRPr="00E866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E8669A" w:rsidRPr="00E8669A" w:rsidRDefault="00E8669A" w:rsidP="00E8669A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8669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24. Виды деятельности некоммерческой организации</w:t>
      </w:r>
    </w:p>
    <w:p w:rsidR="00E8669A" w:rsidRDefault="00E8669A" w:rsidP="00E8669A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8669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  <w:r w:rsidR="00A24C7A"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Некоммерческая организация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указана в его учредительных документах. Такой деятельностью признаются приносящее прибыль производство товаров и услуг, отвечающих целям создания некоммерческой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  <w:r w:rsidRPr="00E8669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E8669A" w:rsidRPr="00E8669A" w:rsidRDefault="00E8669A" w:rsidP="00E8669A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669A" w:rsidRPr="00E8669A" w:rsidRDefault="00E8669A" w:rsidP="00E8669A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8669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</w:p>
    <w:p w:rsidR="00A24C7A" w:rsidRPr="00A24C7A" w:rsidRDefault="00A24C7A" w:rsidP="00A24C7A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24C7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Счет 99 "Прибыли и убытки"</w:t>
      </w:r>
    </w:p>
    <w:p w:rsidR="00A24C7A" w:rsidRPr="00A24C7A" w:rsidRDefault="00A24C7A" w:rsidP="00BF2741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C7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  <w:bookmarkStart w:id="2" w:name="dst102600"/>
      <w:bookmarkEnd w:id="2"/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Счет 99 "Прибыли и убытки" предназначен для обобщения информации о формировании конечного финансового результата деятельности организации в отчетном году.</w:t>
      </w:r>
    </w:p>
    <w:p w:rsidR="00A24C7A" w:rsidRPr="00A24C7A" w:rsidRDefault="00A24C7A" w:rsidP="00A24C7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2777"/>
      <w:bookmarkEnd w:id="3"/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Конечный финансовый результат (чистая прибыль или чистый убыток) слагается из финансового результата от обычных видов деятельности, а также прочих доходов и расходов. По дебету счета 99 "Прибыли и убытки" отражаются убытки (потери, расходы), а по кредиту - прибыли (доходы) организации. Сопоставление дебетового и кредитового оборотов за отчетный период показывает конечный финансовый результат отчетного периода.</w:t>
      </w:r>
    </w:p>
    <w:p w:rsidR="00A24C7A" w:rsidRPr="00A24C7A" w:rsidRDefault="00A24C7A" w:rsidP="00A24C7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4" w:anchor="dst100042" w:history="1">
        <w:r w:rsidRPr="00A24C7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Приказа</w:t>
        </w:r>
      </w:hyperlink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Минфина РФ от 18.09.2006 N 115н)</w:t>
      </w:r>
    </w:p>
    <w:p w:rsidR="00A24C7A" w:rsidRPr="00A24C7A" w:rsidRDefault="00A24C7A" w:rsidP="00A24C7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A24C7A" w:rsidRPr="00A24C7A" w:rsidRDefault="00A24C7A" w:rsidP="00A24C7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2602"/>
      <w:bookmarkEnd w:id="4"/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счете 99 "Прибыли и убытки" в течение отчетного года отражаются:</w:t>
      </w:r>
    </w:p>
    <w:p w:rsidR="00A24C7A" w:rsidRPr="00A24C7A" w:rsidRDefault="00A24C7A" w:rsidP="00A24C7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2603"/>
      <w:bookmarkEnd w:id="5"/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прибыль или убыток от обычных видов деятельности - в корреспонденции со </w:t>
      </w:r>
      <w:hyperlink r:id="rId5" w:anchor="dst102287" w:history="1">
        <w:r w:rsidRPr="00A24C7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счетом 90</w:t>
        </w:r>
      </w:hyperlink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"Продажи";</w:t>
      </w:r>
    </w:p>
    <w:p w:rsidR="00A24C7A" w:rsidRPr="00A24C7A" w:rsidRDefault="00A24C7A" w:rsidP="00A24C7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2604"/>
      <w:bookmarkEnd w:id="6"/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сальдо прочих доходов и расходов за отчетный месяц - в корреспонденции со </w:t>
      </w:r>
      <w:hyperlink r:id="rId6" w:anchor="dst102341" w:history="1">
        <w:r w:rsidRPr="00A24C7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счетом 91</w:t>
        </w:r>
      </w:hyperlink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"Прочие доходы и расходы";</w:t>
      </w:r>
    </w:p>
    <w:p w:rsidR="00A24C7A" w:rsidRPr="00A24C7A" w:rsidRDefault="00A24C7A" w:rsidP="00A24C7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2778"/>
      <w:bookmarkEnd w:id="7"/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 исключен. - </w:t>
      </w:r>
      <w:hyperlink r:id="rId7" w:anchor="dst100043" w:history="1">
        <w:r w:rsidRPr="00A24C7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Приказ</w:t>
        </w:r>
      </w:hyperlink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Минфина РФ от 18.09.2006 N 115н;</w:t>
      </w:r>
    </w:p>
    <w:p w:rsidR="00A24C7A" w:rsidRPr="00A24C7A" w:rsidRDefault="00A24C7A" w:rsidP="00A24C7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(см. текст в предыдущей редакции)</w:t>
      </w:r>
    </w:p>
    <w:p w:rsidR="00A24C7A" w:rsidRPr="00A24C7A" w:rsidRDefault="00A24C7A" w:rsidP="00A24C7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2768"/>
      <w:bookmarkEnd w:id="8"/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суммы начисленного условного расхода по налогу на прибыль, постоянных обязательств и платежи по перерасчетам по этому налогу из фактической прибыли, а также суммы причитающихся налоговых санкций - в корреспонденции со </w:t>
      </w:r>
      <w:hyperlink r:id="rId8" w:anchor="dst101755" w:history="1">
        <w:r w:rsidRPr="00A24C7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счетом 68</w:t>
        </w:r>
      </w:hyperlink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"Расчеты по налогам и сборам".</w:t>
      </w:r>
    </w:p>
    <w:p w:rsidR="00A24C7A" w:rsidRPr="00A24C7A" w:rsidRDefault="00A24C7A" w:rsidP="00A24C7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9" w:anchor="dst100099" w:history="1">
        <w:r w:rsidRPr="00A24C7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Приказа</w:t>
        </w:r>
      </w:hyperlink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Минфина РФ от 07.05.2003 N 38н)</w:t>
      </w:r>
    </w:p>
    <w:p w:rsidR="00A24C7A" w:rsidRPr="00A24C7A" w:rsidRDefault="00A24C7A" w:rsidP="00A24C7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A24C7A" w:rsidRPr="00A24C7A" w:rsidRDefault="00A24C7A" w:rsidP="00A24C7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2607"/>
      <w:bookmarkEnd w:id="9"/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окончании отчетного года при составлении годовой бухгалтерской отчетности счет 99 "Прибыли и убытки" закрывается. При этом заключительной записью декабря сумма чистой прибыли (убытка) отчетного года списывается со счета 99 "Прибыли и убытки" в кредит (дебет) </w:t>
      </w:r>
      <w:hyperlink r:id="rId10" w:anchor="dst102241" w:history="1">
        <w:r w:rsidRPr="00A24C7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счета 84</w:t>
        </w:r>
      </w:hyperlink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"Нераспределенная прибыль (непокрытый убыток)".</w:t>
      </w:r>
    </w:p>
    <w:p w:rsidR="00A24C7A" w:rsidRPr="00A24C7A" w:rsidRDefault="00A24C7A" w:rsidP="00A24C7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2608"/>
      <w:bookmarkEnd w:id="10"/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Построение аналитического учета по счету 99 "Прибыли и убытки" должно обеспечивать формирование данных, необходимых для составления отчета о прибылях и убытках.</w:t>
      </w:r>
    </w:p>
    <w:p w:rsidR="00A24C7A" w:rsidRPr="00A24C7A" w:rsidRDefault="00A24C7A" w:rsidP="00A24C7A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24C7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Счет 84 "Нераспределенная прибыль (непокрытый убыток)"</w:t>
      </w:r>
    </w:p>
    <w:p w:rsidR="00A24C7A" w:rsidRPr="00A24C7A" w:rsidRDefault="00A24C7A" w:rsidP="00BF2741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C7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  <w:bookmarkStart w:id="11" w:name="dst102242"/>
      <w:bookmarkEnd w:id="11"/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Счет 84 "Нераспределенная прибыль (непокрытый убыток)" предназначен для обобщения информации о наличии и движении сумм нераспределенной прибыли или непокрытого убытка организации.</w:t>
      </w:r>
    </w:p>
    <w:p w:rsidR="00A24C7A" w:rsidRPr="00A24C7A" w:rsidRDefault="00A24C7A" w:rsidP="00A24C7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2243"/>
      <w:bookmarkEnd w:id="12"/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Сумма чистой прибыли отчетного года списывается заключительными оборотами декабря в кредит счета 84 "Нераспределенная прибыль (непокрытый убыток)" в корреспонденции со </w:t>
      </w:r>
      <w:hyperlink r:id="rId11" w:anchor="dst102599" w:history="1">
        <w:r w:rsidRPr="00A24C7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счетом 99</w:t>
        </w:r>
      </w:hyperlink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"Прибыли и убытки". Сумма чистого убытка отчетного года списывается заключительными оборотами декабря в дебет счета 84 "Нераспределенная прибыль (непокрытый убыток)" в корреспонденции со </w:t>
      </w:r>
      <w:hyperlink r:id="rId12" w:anchor="dst102599" w:history="1">
        <w:r w:rsidRPr="00A24C7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счетом 99</w:t>
        </w:r>
      </w:hyperlink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"Прибыли и убытки".</w:t>
      </w:r>
    </w:p>
    <w:p w:rsidR="00A24C7A" w:rsidRPr="00A24C7A" w:rsidRDefault="00A24C7A" w:rsidP="00A24C7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2244"/>
      <w:bookmarkEnd w:id="13"/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Направление части прибыли отчетного года на выплату доходов учредителям (участникам) организации по итогам утверждения годовой бухгалтерской отчетности отражается по дебету счета 84 "Нераспределенная прибыль (непокрытый убыток)" и кредиту </w:t>
      </w:r>
      <w:hyperlink r:id="rId13" w:anchor="dst101954" w:history="1">
        <w:r w:rsidRPr="00A24C7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счетов 75</w:t>
        </w:r>
      </w:hyperlink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"Расчеты с учредителями" и </w:t>
      </w:r>
      <w:hyperlink r:id="rId14" w:anchor="dst101829" w:history="1">
        <w:r w:rsidRPr="00A24C7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70</w:t>
        </w:r>
      </w:hyperlink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"Расчеты с персоналом по оплате труда". Аналогичная запись делается при выплате промежуточных доходов.</w:t>
      </w:r>
    </w:p>
    <w:p w:rsidR="00A24C7A" w:rsidRPr="00A24C7A" w:rsidRDefault="00A24C7A" w:rsidP="00A24C7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2245"/>
      <w:bookmarkEnd w:id="14"/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Списание с бухгалтерского баланса убытка отчетного года отражается по кредиту счета 84 "Нераспределенная прибыль (непокрытый убыток)" в корреспонденции со </w:t>
      </w:r>
      <w:hyperlink r:id="rId15" w:anchor="dst102156" w:history="1">
        <w:r w:rsidRPr="00A24C7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счетами: 80</w:t>
        </w:r>
      </w:hyperlink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"Уставный капитал" - при доведении величины уставного капитала до величины чистых активов организации; </w:t>
      </w:r>
      <w:hyperlink r:id="rId16" w:anchor="dst102211" w:history="1">
        <w:r w:rsidRPr="00A24C7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82</w:t>
        </w:r>
      </w:hyperlink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"Резервный капитал" - при направлении на погашение убытка средств резервного капитала; </w:t>
      </w:r>
      <w:hyperlink r:id="rId17" w:anchor="dst101954" w:history="1">
        <w:r w:rsidRPr="00A24C7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75</w:t>
        </w:r>
      </w:hyperlink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"Расчеты с учредителями" - при погашении убытка простого товарищества за счет целевых взносов его участников и др.</w:t>
      </w:r>
    </w:p>
    <w:p w:rsidR="00A11178" w:rsidRDefault="00A24C7A" w:rsidP="00A24C7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2246"/>
      <w:bookmarkEnd w:id="15"/>
      <w:r w:rsidRPr="00A24C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Аналитический учет по счету 84 "Нераспределенная прибыль (непокрытый убыток)" организуется таким образом, чтобы обеспечить формирование информации по направлениям использования средств. При этом в аналитическом учете средства нераспределенной прибыли, использованные в качестве финансового обеспечения производственного развития организации и иных аналогичных мероприятий по приобретению (созданию) нового имущества и еще не использованные, могут разделяться.</w:t>
      </w:r>
    </w:p>
    <w:p w:rsidR="00A11178" w:rsidRDefault="00A11178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page"/>
      </w:r>
    </w:p>
    <w:p w:rsidR="00BF2741" w:rsidRDefault="00BF2741" w:rsidP="00A1117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lastRenderedPageBreak/>
        <w:t>Вопрос 1.4.</w:t>
      </w:r>
    </w:p>
    <w:p w:rsidR="00BF2741" w:rsidRPr="00BF2741" w:rsidRDefault="00BF2741" w:rsidP="00BF274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F274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ПИСЬМО ФНС РФ ОТ 06.09.2016 № ОА-4-17/16629@</w:t>
      </w:r>
    </w:p>
    <w:p w:rsidR="00BF2741" w:rsidRDefault="00BF2741" w:rsidP="00BF2741">
      <w:pPr>
        <w:pStyle w:val="a4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Федеральная налоговая служба рассмотрела обращение и сообщает следующее.</w:t>
      </w:r>
    </w:p>
    <w:p w:rsidR="00BF2741" w:rsidRDefault="00BF2741" w:rsidP="00BF2741">
      <w:pPr>
        <w:pStyle w:val="a4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1. По вопросу необходимости предоставления доверенности на бумажном носителе, ранее направленной в налоговый орган в электронной форме по телекоммуникационным каналам связи (далее – ТКС).</w:t>
      </w:r>
    </w:p>
    <w:p w:rsidR="00BF2741" w:rsidRDefault="00BF2741" w:rsidP="00BF2741">
      <w:pPr>
        <w:pStyle w:val="a4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Пунктом 3 статьи 80 </w:t>
      </w:r>
      <w:hyperlink r:id="rId18" w:tgtFrame="_blank" w:history="1">
        <w:r>
          <w:rPr>
            <w:rStyle w:val="a3"/>
            <w:rFonts w:ascii="Tahoma" w:hAnsi="Tahoma" w:cs="Tahoma"/>
            <w:color w:val="005580"/>
            <w:sz w:val="21"/>
            <w:szCs w:val="21"/>
          </w:rPr>
          <w:t>Налогового кодекса Российской Федерации</w:t>
        </w:r>
      </w:hyperlink>
      <w:r>
        <w:rPr>
          <w:rFonts w:ascii="Tahoma" w:hAnsi="Tahoma" w:cs="Tahoma"/>
          <w:color w:val="333333"/>
          <w:sz w:val="21"/>
          <w:szCs w:val="21"/>
        </w:rPr>
        <w:t> (далее – </w:t>
      </w:r>
      <w:hyperlink r:id="rId19" w:anchor="art80760" w:tgtFrame="_blank" w:history="1">
        <w:r>
          <w:rPr>
            <w:rStyle w:val="a3"/>
            <w:rFonts w:ascii="Tahoma" w:hAnsi="Tahoma" w:cs="Tahoma"/>
            <w:color w:val="005580"/>
            <w:sz w:val="21"/>
            <w:szCs w:val="21"/>
          </w:rPr>
          <w:t>Кодекс</w:t>
        </w:r>
      </w:hyperlink>
      <w:r>
        <w:rPr>
          <w:rFonts w:ascii="Tahoma" w:hAnsi="Tahoma" w:cs="Tahoma"/>
          <w:color w:val="333333"/>
          <w:sz w:val="21"/>
          <w:szCs w:val="21"/>
        </w:rPr>
        <w:t>) установлено, что «налоговая декларация (расчет) представляется в налоговый орган по месту учета налогоплательщика (плательщика сбора, налогового агента) по установленной форме на бумажном носителе или по установленным форматам в электронной форме вместе с документами, которые в соответствии с настоящим Кодексом должны прилагаться к налоговой декларации (расчету). Налогоплательщики вправе представить документы, которые в соответствии с настоящим Кодексом должны прилагаться к налоговой декларации (расчету), в электронной форме».</w:t>
      </w:r>
    </w:p>
    <w:p w:rsidR="00BF2741" w:rsidRDefault="00BF2741" w:rsidP="00BF2741">
      <w:pPr>
        <w:pStyle w:val="a4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Согласно пункту 5 статьи 80 Кодекса «Если достоверность и полноту сведений, указанных в налоговой декларации (расчете), в том числе с применением усиленной квалифицированной электронной подписи при представлении налоговой декларации (расчета) в электронной форме, подтверждает уполномоченный представитель налогоплательщика (плательщика сбора, налогового агента), в налоговой декларации (расчете) указывается основание представительства (наименование документа, подтверждающего наличие полномочий на подписание налоговой декларации (расчета). При этом к налоговой декларации (расчету) прилагается копия документа, подтверждающего полномочия представителя на подписание налоговой декларации (расчета).</w:t>
      </w:r>
    </w:p>
    <w:p w:rsidR="00BF2741" w:rsidRDefault="00BF2741" w:rsidP="00BF2741">
      <w:pPr>
        <w:pStyle w:val="a4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При представлении налоговой декларации (расчета) в электронной форме копия документа, подтверждающего полномочия представителя на подписание налоговой декларации (расчета), может быть представлена в электронной форме по телекоммуникационным каналам связи».</w:t>
      </w:r>
    </w:p>
    <w:p w:rsidR="00BF2741" w:rsidRDefault="00BF2741" w:rsidP="00BF2741">
      <w:pPr>
        <w:pStyle w:val="a4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 соответствии с пунктом 7 указанной статьи </w:t>
      </w:r>
      <w:hyperlink r:id="rId20" w:anchor="art80760" w:tgtFrame="_blank" w:history="1">
        <w:r>
          <w:rPr>
            <w:rStyle w:val="a3"/>
            <w:rFonts w:ascii="Tahoma" w:hAnsi="Tahoma" w:cs="Tahoma"/>
            <w:color w:val="005580"/>
            <w:sz w:val="21"/>
            <w:szCs w:val="21"/>
          </w:rPr>
          <w:t>Кодекса</w:t>
        </w:r>
      </w:hyperlink>
      <w:r>
        <w:rPr>
          <w:rFonts w:ascii="Tahoma" w:hAnsi="Tahoma" w:cs="Tahoma"/>
          <w:color w:val="333333"/>
          <w:sz w:val="21"/>
          <w:szCs w:val="21"/>
        </w:rPr>
        <w:t> «форматы и порядок представления налоговых деклараций (расчетов) и прилагаемых к ним документов в соответствии с настоящим Кодексом в электронной форме утверждаются федеральным органом исполнительной власти, уполномоченным по контролю и надзору в области налогов и сборов».</w:t>
      </w:r>
    </w:p>
    <w:p w:rsidR="00BF2741" w:rsidRDefault="00BF2741" w:rsidP="00BF2741">
      <w:pPr>
        <w:pStyle w:val="a4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Согласно пункту 1 раздела 1 Порядка формирования и ведения информационного ресурса «Доверенность» в программном обеспечении местного уровня, утвержденного </w:t>
      </w:r>
      <w:hyperlink r:id="rId21" w:tgtFrame="_blank" w:history="1">
        <w:r>
          <w:rPr>
            <w:rStyle w:val="a3"/>
            <w:rFonts w:ascii="Tahoma" w:hAnsi="Tahoma" w:cs="Tahoma"/>
            <w:color w:val="005580"/>
            <w:sz w:val="21"/>
            <w:szCs w:val="21"/>
          </w:rPr>
          <w:t>Приказом ФНС России от 23.04.2010 № ММВ-7-6/200@</w:t>
        </w:r>
      </w:hyperlink>
      <w:r>
        <w:rPr>
          <w:rFonts w:ascii="Tahoma" w:hAnsi="Tahoma" w:cs="Tahoma"/>
          <w:color w:val="333333"/>
          <w:sz w:val="21"/>
          <w:szCs w:val="21"/>
        </w:rPr>
        <w:t>, доверенность, заверенная ответственным лицом, может быть представлена в налоговый орган лично, по почте или через представителя, направлена в виде почтового отправления с описью вложения или передана по телекоммуникационным каналам связи.</w:t>
      </w:r>
    </w:p>
    <w:p w:rsidR="00BF2741" w:rsidRDefault="00BF2741" w:rsidP="00BF2741">
      <w:pPr>
        <w:pStyle w:val="a4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hyperlink r:id="rId22" w:tgtFrame="_blank" w:history="1">
        <w:r>
          <w:rPr>
            <w:rStyle w:val="a3"/>
            <w:rFonts w:ascii="Tahoma" w:hAnsi="Tahoma" w:cs="Tahoma"/>
            <w:color w:val="005580"/>
            <w:sz w:val="21"/>
            <w:szCs w:val="21"/>
          </w:rPr>
          <w:t>Приказом ФНС России от 09.11.2010 № ММВ-7-6/535@</w:t>
        </w:r>
      </w:hyperlink>
      <w:r>
        <w:rPr>
          <w:rFonts w:ascii="Tahoma" w:hAnsi="Tahoma" w:cs="Tahoma"/>
          <w:color w:val="333333"/>
          <w:sz w:val="21"/>
          <w:szCs w:val="21"/>
        </w:rPr>
        <w:t xml:space="preserve"> утвержден унифицированный формат транспортного контейнера при информационном взаимодействии с приемными комплексами налоговых органов по телекоммуникационным каналам связи с использованием электронной цифровой подписи, пунктом 3.3 которого предусмотрено, что «для неформализованных документов в форматах JPEG, TIFF, а также изображений, вложенных в документы формата PDF, RTF,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Microsoft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Word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Microsoft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Excel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Open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Document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Text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Document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Spreadsheet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Open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XML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Word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Open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XML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Spreadsheet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, содержащих отсканированные изображения, предъявляются следующие требования: черно-белое изображение с разрешением </w:t>
      </w:r>
      <w:r>
        <w:rPr>
          <w:rFonts w:ascii="Tahoma" w:hAnsi="Tahoma" w:cs="Tahoma"/>
          <w:color w:val="333333"/>
          <w:sz w:val="21"/>
          <w:szCs w:val="21"/>
        </w:rPr>
        <w:lastRenderedPageBreak/>
        <w:t>отсканированного документа не менее 150 и не более 300 точек на дюйм с использованием 256 градаций серого цвета».</w:t>
      </w:r>
    </w:p>
    <w:p w:rsidR="00BF2741" w:rsidRPr="00E4456E" w:rsidRDefault="00BF2741" w:rsidP="00BF2741">
      <w:pPr>
        <w:pStyle w:val="a4"/>
        <w:shd w:val="clear" w:color="auto" w:fill="FFFFFF"/>
        <w:spacing w:before="0" w:beforeAutospacing="0" w:after="300" w:afterAutospacing="0"/>
        <w:rPr>
          <w:rFonts w:ascii="Tahoma" w:hAnsi="Tahoma" w:cs="Tahoma"/>
          <w:b/>
          <w:color w:val="333333"/>
          <w:sz w:val="21"/>
          <w:szCs w:val="21"/>
        </w:rPr>
      </w:pPr>
      <w:r w:rsidRPr="00E4456E">
        <w:rPr>
          <w:rFonts w:ascii="Tahoma" w:hAnsi="Tahoma" w:cs="Tahoma"/>
          <w:b/>
          <w:color w:val="333333"/>
          <w:sz w:val="21"/>
          <w:szCs w:val="21"/>
        </w:rPr>
        <w:t>Таким образом, доверенность может быть представлена в налоговый орган в электронной форме по телекоммуникационным каналам связи в виде черно-белой сканированной копии бумажного вида доверенности с усиленной квалифицированной электронной подписью, при этом одновременное предоставление указанной доверенности на бумажном носителе не требуется.</w:t>
      </w:r>
    </w:p>
    <w:p w:rsidR="00BF2741" w:rsidRDefault="00BF2741" w:rsidP="00A1117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BF2741" w:rsidRDefault="00BF2741">
      <w:pP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br w:type="page"/>
      </w:r>
    </w:p>
    <w:p w:rsidR="00BF2741" w:rsidRDefault="00BF2741" w:rsidP="00A1117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lastRenderedPageBreak/>
        <w:t>Вопрос 4</w:t>
      </w:r>
    </w:p>
    <w:p w:rsidR="00A11178" w:rsidRPr="00A11178" w:rsidRDefault="00A11178" w:rsidP="00A1117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1117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НК РФ Статья 346.11. Общие положения</w:t>
      </w:r>
    </w:p>
    <w:p w:rsidR="00A11178" w:rsidRDefault="00A11178" w:rsidP="00A11178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1117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2. Применение упрощенной системы налогообложения организациями предусматривает их освобождение от обязанности по уплате налога на прибыль организаций (за исключением налога, уплачиваемого с доходов, облагаемых по налоговым ставкам, предусмотренным </w:t>
      </w:r>
      <w:hyperlink r:id="rId23" w:anchor="dst10956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пунктами 1.6</w:t>
        </w:r>
      </w:hyperlink>
      <w:r>
        <w:rPr>
          <w:rFonts w:ascii="Arial" w:hAnsi="Arial" w:cs="Arial"/>
          <w:color w:val="333333"/>
          <w:shd w:val="clear" w:color="auto" w:fill="FFFFFF"/>
        </w:rPr>
        <w:t>, </w:t>
      </w:r>
      <w:hyperlink r:id="rId24" w:anchor="dst3296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3</w:t>
        </w:r>
      </w:hyperlink>
      <w:r>
        <w:rPr>
          <w:rFonts w:ascii="Arial" w:hAnsi="Arial" w:cs="Arial"/>
          <w:color w:val="333333"/>
          <w:shd w:val="clear" w:color="auto" w:fill="FFFFFF"/>
        </w:rPr>
        <w:t> и </w:t>
      </w:r>
      <w:hyperlink r:id="rId25" w:anchor="dst694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4 статьи 284</w:t>
        </w:r>
      </w:hyperlink>
      <w:r>
        <w:rPr>
          <w:rFonts w:ascii="Arial" w:hAnsi="Arial" w:cs="Arial"/>
          <w:color w:val="333333"/>
          <w:shd w:val="clear" w:color="auto" w:fill="FFFFFF"/>
        </w:rPr>
        <w:t> настоящего Кодекса), налога на имущество организаций (за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 настоящим </w:t>
      </w:r>
      <w:hyperlink r:id="rId26" w:anchor="dst9201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Кодексом</w:t>
        </w:r>
      </w:hyperlink>
      <w:r>
        <w:rPr>
          <w:rFonts w:ascii="Arial" w:hAnsi="Arial" w:cs="Arial"/>
          <w:color w:val="333333"/>
          <w:shd w:val="clear" w:color="auto" w:fill="FFFFFF"/>
        </w:rPr>
        <w:t>). Организации, применяющие упрощенную систему налогообложения, не признаются налогоплательщиками налога на добавленную стоимость, за исключением налога на добавленную стоимость, подлежащего уплате в соответствии с настоящим </w:t>
      </w:r>
      <w:hyperlink r:id="rId27" w:anchor="dst6000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Кодексом</w:t>
        </w:r>
      </w:hyperlink>
      <w:r>
        <w:rPr>
          <w:rFonts w:ascii="Arial" w:hAnsi="Arial" w:cs="Arial"/>
          <w:color w:val="333333"/>
          <w:shd w:val="clear" w:color="auto" w:fill="FFFFFF"/>
        </w:rPr>
        <w:t> при ввозе товаров на территорию Российской Федерации и иные территории, находящиеся под ее юрисдикцией (включая суммы налога,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области), а также налога на добавленную стоимость, уплачиваемого в соответствии со </w:t>
      </w:r>
      <w:hyperlink r:id="rId28" w:anchor="dst100279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статьями 161</w:t>
        </w:r>
      </w:hyperlink>
      <w:r>
        <w:rPr>
          <w:rFonts w:ascii="Arial" w:hAnsi="Arial" w:cs="Arial"/>
          <w:color w:val="333333"/>
          <w:shd w:val="clear" w:color="auto" w:fill="FFFFFF"/>
        </w:rPr>
        <w:t> и </w:t>
      </w:r>
      <w:hyperlink r:id="rId29" w:anchor="dst2163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174.1</w:t>
        </w:r>
      </w:hyperlink>
      <w:r>
        <w:rPr>
          <w:rFonts w:ascii="Arial" w:hAnsi="Arial" w:cs="Arial"/>
          <w:color w:val="333333"/>
          <w:shd w:val="clear" w:color="auto" w:fill="FFFFFF"/>
        </w:rPr>
        <w:t> настоящего Кодекса.</w:t>
      </w:r>
    </w:p>
    <w:p w:rsidR="00A11178" w:rsidRDefault="00A11178" w:rsidP="00A1117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A11178" w:rsidRPr="00A11178" w:rsidRDefault="00A11178" w:rsidP="00A1117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1117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НК РФ Статья 373. Налогоплательщики</w:t>
      </w:r>
    </w:p>
    <w:p w:rsidR="00A11178" w:rsidRPr="00A11178" w:rsidRDefault="00A11178" w:rsidP="00BF2741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117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  <w:bookmarkStart w:id="16" w:name="dst4517"/>
      <w:bookmarkEnd w:id="16"/>
      <w:r w:rsidRPr="00A111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Налогоплательщиками налога (далее в настоящей главе - налогоплательщики) признаются организации, имеющие имущество, признаваемое объектом налогообложения в соответствии со </w:t>
      </w:r>
      <w:hyperlink r:id="rId30" w:anchor="dst208" w:history="1">
        <w:r w:rsidRPr="00A1117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374</w:t>
        </w:r>
      </w:hyperlink>
      <w:r w:rsidRPr="00A111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Кодекса.</w:t>
      </w:r>
    </w:p>
    <w:p w:rsidR="00512F72" w:rsidRPr="00512F72" w:rsidRDefault="00512F72" w:rsidP="00512F7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512F7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НК РФ Статья 378.2. Особенности определения налоговой базы, исчисления и уплаты налога в отношении отдельных объектов недвижимого имущества</w:t>
      </w:r>
    </w:p>
    <w:p w:rsidR="00512F72" w:rsidRPr="00512F72" w:rsidRDefault="00512F72" w:rsidP="00512F7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3981"/>
      <w:bookmarkEnd w:id="17"/>
      <w:r w:rsidRPr="00512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Налоговая база определяется с учетом особенностей, установленных настоящей статьей,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512F72" w:rsidRPr="00512F72" w:rsidRDefault="00512F72" w:rsidP="00512F7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31" w:anchor="dst100573" w:history="1">
        <w:r w:rsidRPr="00512F7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512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30.11.2016 N 401-ФЗ)</w:t>
      </w:r>
    </w:p>
    <w:p w:rsidR="00512F72" w:rsidRPr="00512F72" w:rsidRDefault="00512F72" w:rsidP="00512F7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512F72" w:rsidRPr="00512F72" w:rsidRDefault="00512F72" w:rsidP="00512F7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9202"/>
      <w:bookmarkEnd w:id="18"/>
      <w:r w:rsidRPr="00512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административно-деловые центры и торговые центры (комплексы) и помещения в них;</w:t>
      </w:r>
    </w:p>
    <w:p w:rsidR="00512F72" w:rsidRPr="00512F72" w:rsidRDefault="00512F72" w:rsidP="00512F7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3982"/>
      <w:bookmarkEnd w:id="19"/>
      <w:r w:rsidRPr="00512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512F72" w:rsidRPr="00512F72" w:rsidRDefault="00512F72" w:rsidP="00512F7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32" w:anchor="dst100574" w:history="1">
        <w:r w:rsidRPr="00512F7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512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30.11.2016 N 401-ФЗ)</w:t>
      </w:r>
    </w:p>
    <w:p w:rsidR="00512F72" w:rsidRPr="00512F72" w:rsidRDefault="00512F72" w:rsidP="00512F7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512F72" w:rsidRPr="00512F72" w:rsidRDefault="00512F72" w:rsidP="00512F7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9204"/>
      <w:bookmarkEnd w:id="20"/>
      <w:r w:rsidRPr="00512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объекты недвижимого имущества иностранных организаций, не осуществляющих деятельности в Российской Федерации через </w:t>
      </w:r>
      <w:hyperlink r:id="rId33" w:anchor="dst102933" w:history="1">
        <w:r w:rsidRPr="00512F7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постоянные представительства</w:t>
        </w:r>
      </w:hyperlink>
      <w:r w:rsidRPr="00512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512F72" w:rsidRPr="00512F72" w:rsidRDefault="00512F72" w:rsidP="00512F7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299"/>
      <w:bookmarkEnd w:id="21"/>
      <w:r w:rsidRPr="00512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4) жилые дома и жилые помещения, не учитываемые на балансе в качестве объектов основных средств в порядке, установленном для ведения бухгалтерского учета.</w:t>
      </w:r>
    </w:p>
    <w:p w:rsidR="00512F72" w:rsidRPr="00512F72" w:rsidRDefault="00512F72" w:rsidP="00512F7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512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512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4 введен Федеральным </w:t>
      </w:r>
      <w:hyperlink r:id="rId34" w:anchor="dst100021" w:history="1">
        <w:r w:rsidRPr="00512F7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512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04.10.2014 N 284-ФЗ)</w:t>
      </w:r>
    </w:p>
    <w:p w:rsidR="00A24C7A" w:rsidRDefault="00A24C7A">
      <w:bookmarkStart w:id="22" w:name="_GoBack"/>
      <w:bookmarkEnd w:id="22"/>
    </w:p>
    <w:sectPr w:rsidR="00A2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7A"/>
    <w:rsid w:val="002B5190"/>
    <w:rsid w:val="003618DB"/>
    <w:rsid w:val="00512F72"/>
    <w:rsid w:val="00710975"/>
    <w:rsid w:val="00921044"/>
    <w:rsid w:val="009A5D32"/>
    <w:rsid w:val="00A11178"/>
    <w:rsid w:val="00A24C7A"/>
    <w:rsid w:val="00B02909"/>
    <w:rsid w:val="00B413A8"/>
    <w:rsid w:val="00BF2741"/>
    <w:rsid w:val="00E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D50B"/>
  <w15:chartTrackingRefBased/>
  <w15:docId w15:val="{E52344E9-6A1A-4B19-B430-E04D5728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1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7972/5e6d82cced887a8b5835ff04e4bec7bcd70a3866/" TargetMode="External"/><Relationship Id="rId13" Type="http://schemas.openxmlformats.org/officeDocument/2006/relationships/hyperlink" Target="http://www.consultant.ru/document/cons_doc_LAW_107972/43f274d778d63ed8503752b9294014bdd45cac40/" TargetMode="External"/><Relationship Id="rId18" Type="http://schemas.openxmlformats.org/officeDocument/2006/relationships/hyperlink" Target="https://audar-info.ru/na/editSection/index/type_id/2/doc_id/3441/release_id/14222/" TargetMode="External"/><Relationship Id="rId26" Type="http://schemas.openxmlformats.org/officeDocument/2006/relationships/hyperlink" Target="http://www.consultant.ru/document/cons_doc_LAW_323880/f6758978b92339b7e996fde13e5104caec7531d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udar-info.ru/na/editSection/index/type_id/5/doc_id/9868/release_id/31713/" TargetMode="External"/><Relationship Id="rId34" Type="http://schemas.openxmlformats.org/officeDocument/2006/relationships/hyperlink" Target="http://www.consultant.ru/document/cons_doc_LAW_169428/b004fed0b70d0f223e4a81f8ad6cd92af90a7e3b/" TargetMode="External"/><Relationship Id="rId7" Type="http://schemas.openxmlformats.org/officeDocument/2006/relationships/hyperlink" Target="http://www.consultant.ru/document/cons_doc_LAW_105408/148952d741cfbd1c73818bbc5e6b291a9c4cf299/" TargetMode="External"/><Relationship Id="rId12" Type="http://schemas.openxmlformats.org/officeDocument/2006/relationships/hyperlink" Target="http://www.consultant.ru/document/cons_doc_LAW_107972/35c5ffdc41450b017faee01a70727cfa81013c48/" TargetMode="External"/><Relationship Id="rId17" Type="http://schemas.openxmlformats.org/officeDocument/2006/relationships/hyperlink" Target="http://www.consultant.ru/document/cons_doc_LAW_107972/43f274d778d63ed8503752b9294014bdd45cac40/" TargetMode="External"/><Relationship Id="rId25" Type="http://schemas.openxmlformats.org/officeDocument/2006/relationships/hyperlink" Target="http://www.consultant.ru/document/cons_doc_LAW_323880/eb9180fc785448d58fe76ef323fb67d1832b9363/" TargetMode="External"/><Relationship Id="rId33" Type="http://schemas.openxmlformats.org/officeDocument/2006/relationships/hyperlink" Target="http://www.consultant.ru/document/cons_doc_LAW_323880/fa62c975ab243732baf9cabdc96e9e9faa89bf1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07972/bacc2f396107937b5030263530cbf1396d7cde4a/" TargetMode="External"/><Relationship Id="rId20" Type="http://schemas.openxmlformats.org/officeDocument/2006/relationships/hyperlink" Target="https://audar-info.ru/na/editArticle/index/type_id/2/doc_id/3440/release_id/14246/sec_id/96784/" TargetMode="External"/><Relationship Id="rId29" Type="http://schemas.openxmlformats.org/officeDocument/2006/relationships/hyperlink" Target="http://www.consultant.ru/document/cons_doc_LAW_323880/9f984deb9cbc5b4333bd03933e716145b4e4287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7972/48bc86d7b9e0deecafc3c160d736fbab899f79f2/" TargetMode="External"/><Relationship Id="rId11" Type="http://schemas.openxmlformats.org/officeDocument/2006/relationships/hyperlink" Target="http://www.consultant.ru/document/cons_doc_LAW_107972/35c5ffdc41450b017faee01a70727cfa81013c48/" TargetMode="External"/><Relationship Id="rId24" Type="http://schemas.openxmlformats.org/officeDocument/2006/relationships/hyperlink" Target="http://www.consultant.ru/document/cons_doc_LAW_323880/eb9180fc785448d58fe76ef323fb67d1832b9363/" TargetMode="External"/><Relationship Id="rId32" Type="http://schemas.openxmlformats.org/officeDocument/2006/relationships/hyperlink" Target="http://www.consultant.ru/document/cons_doc_LAW_312024/b004fed0b70d0f223e4a81f8ad6cd92af90a7e3b/" TargetMode="External"/><Relationship Id="rId5" Type="http://schemas.openxmlformats.org/officeDocument/2006/relationships/hyperlink" Target="http://www.consultant.ru/document/cons_doc_LAW_107972/594aee47f2c476ec355960db496483c0869c4299/" TargetMode="External"/><Relationship Id="rId15" Type="http://schemas.openxmlformats.org/officeDocument/2006/relationships/hyperlink" Target="http://www.consultant.ru/document/cons_doc_LAW_107972/a2cb24e6996c08f3737bf01e71d7650fa8d39dee/" TargetMode="External"/><Relationship Id="rId23" Type="http://schemas.openxmlformats.org/officeDocument/2006/relationships/hyperlink" Target="http://www.consultant.ru/document/cons_doc_LAW_323880/eb9180fc785448d58fe76ef323fb67d1832b9363/" TargetMode="External"/><Relationship Id="rId28" Type="http://schemas.openxmlformats.org/officeDocument/2006/relationships/hyperlink" Target="http://www.consultant.ru/document/cons_doc_LAW_323880/80b88dc050bc39f8a6a48904da24c0df6be6fff2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107972/dedd1f0a311a5ff7c50e75c9d660d27e3c0d8293/" TargetMode="External"/><Relationship Id="rId19" Type="http://schemas.openxmlformats.org/officeDocument/2006/relationships/hyperlink" Target="https://audar-info.ru/na/editArticle/index/type_id/2/doc_id/3440/release_id/14246/sec_id/96784/" TargetMode="External"/><Relationship Id="rId31" Type="http://schemas.openxmlformats.org/officeDocument/2006/relationships/hyperlink" Target="http://www.consultant.ru/document/cons_doc_LAW_312024/b004fed0b70d0f223e4a81f8ad6cd92af90a7e3b/" TargetMode="External"/><Relationship Id="rId4" Type="http://schemas.openxmlformats.org/officeDocument/2006/relationships/hyperlink" Target="http://www.consultant.ru/document/cons_doc_LAW_105408/148952d741cfbd1c73818bbc5e6b291a9c4cf299/" TargetMode="External"/><Relationship Id="rId9" Type="http://schemas.openxmlformats.org/officeDocument/2006/relationships/hyperlink" Target="http://www.consultant.ru/document/cons_doc_LAW_42435/ff850d27514bc742e55aa77db5c6ac1998f0a75e/" TargetMode="External"/><Relationship Id="rId14" Type="http://schemas.openxmlformats.org/officeDocument/2006/relationships/hyperlink" Target="http://www.consultant.ru/document/cons_doc_LAW_107972/c717bb620b06e611e814840f959b6dd345208543/" TargetMode="External"/><Relationship Id="rId22" Type="http://schemas.openxmlformats.org/officeDocument/2006/relationships/hyperlink" Target="https://audar-info.ru/na/editSection/index/type_id/5/doc_id/12740/release_id/32552/" TargetMode="External"/><Relationship Id="rId27" Type="http://schemas.openxmlformats.org/officeDocument/2006/relationships/hyperlink" Target="http://www.consultant.ru/document/cons_doc_LAW_323880/00e851cdb46302bc5205a07913f1d7c132592275/" TargetMode="External"/><Relationship Id="rId30" Type="http://schemas.openxmlformats.org/officeDocument/2006/relationships/hyperlink" Target="http://www.consultant.ru/document/cons_doc_LAW_323880/d396a8e0699c51393ab5f6b8ad4c2ad8d408c553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2</cp:revision>
  <dcterms:created xsi:type="dcterms:W3CDTF">2019-05-22T07:13:00Z</dcterms:created>
  <dcterms:modified xsi:type="dcterms:W3CDTF">2019-05-22T08:43:00Z</dcterms:modified>
</cp:coreProperties>
</file>