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9B" w:rsidRDefault="00DB159B" w:rsidP="00DB159B">
      <w:pPr>
        <w:shd w:val="clear" w:color="auto" w:fill="FBFBFB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Неверова Г.Н.</w:t>
      </w:r>
    </w:p>
    <w:p w:rsidR="00DB159B" w:rsidRDefault="00DB159B" w:rsidP="00DB159B">
      <w:pPr>
        <w:shd w:val="clear" w:color="auto" w:fill="FBFBFB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КБА НКО от 02.08.2019</w:t>
      </w:r>
    </w:p>
    <w:p w:rsidR="00DB159B" w:rsidRDefault="00DB159B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450" w:rsidRDefault="00DB159B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вопросу 3</w:t>
      </w:r>
    </w:p>
    <w:p w:rsidR="00DB159B" w:rsidRDefault="00DB159B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450" w:rsidRDefault="006F0692" w:rsidP="001F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1F0450" w:rsidRPr="001F045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"Налоговый кодекс Российской Федерации (часть вторая)" от 05.08.2000 N 117-ФЗ </w:t>
        </w:r>
      </w:hyperlink>
      <w:r w:rsidR="003A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A84" w:rsidRDefault="003A5A84" w:rsidP="001F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84" w:rsidRDefault="003A5A84" w:rsidP="003A5A84">
      <w:pPr>
        <w:pStyle w:val="1"/>
      </w:pPr>
      <w:r>
        <w:rPr>
          <w:rStyle w:val="hl"/>
        </w:rPr>
        <w:t>НК РФ Статья 251. Доходы, не учитываемые при определении налоговой базы</w:t>
      </w:r>
    </w:p>
    <w:p w:rsidR="003A5A84" w:rsidRDefault="003A5A84" w:rsidP="003A5A84"/>
    <w:p w:rsidR="003A5A84" w:rsidRPr="00D8057E" w:rsidRDefault="003A5A84" w:rsidP="003A5A8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определении налоговой базы также не учитываются целевые поступления (за исключением целевых поступлений в виде </w:t>
      </w:r>
      <w:hyperlink r:id="rId5" w:anchor="dst100661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подакцизных товаров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3A5A84" w:rsidRPr="001F0450" w:rsidRDefault="003A5A84" w:rsidP="001F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450" w:rsidRPr="001F0450" w:rsidRDefault="001F0450" w:rsidP="001F0450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1953"/>
      <w:bookmarkEnd w:id="0"/>
      <w:r w:rsidRPr="001F04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НК РФ Статья 252. Расходы. Группировка расходов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1F0450" w:rsidRPr="001F0450" w:rsidTr="001F04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0450" w:rsidRPr="001F0450" w:rsidRDefault="001F0450" w:rsidP="001F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0450" w:rsidRPr="001F0450" w:rsidRDefault="001F0450" w:rsidP="001F0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450" w:rsidRPr="001F0450" w:rsidRDefault="001F0450" w:rsidP="001F0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450" w:rsidRPr="001F0450" w:rsidRDefault="001F0450" w:rsidP="001F04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1954"/>
      <w:bookmarkEnd w:id="1"/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настоящей главы налогоплательщик уменьшает полученные доходы на сумму произведенных расходов (за исключением расходов, указанных в </w:t>
      </w:r>
      <w:hyperlink r:id="rId6" w:anchor="dst102368" w:history="1">
        <w:r w:rsidRPr="001F0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270</w:t>
        </w:r>
      </w:hyperlink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Кодекса).</w:t>
      </w:r>
    </w:p>
    <w:p w:rsidR="001F0450" w:rsidRPr="001F0450" w:rsidRDefault="001F0450" w:rsidP="001F04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1955"/>
      <w:bookmarkEnd w:id="2"/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Расходами признаются </w:t>
      </w:r>
      <w:r w:rsidRPr="00795B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обоснованные</w:t>
      </w:r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документально подтвержденные затраты (а в случаях, предусмотренных </w:t>
      </w:r>
      <w:hyperlink r:id="rId7" w:anchor="dst102311" w:history="1">
        <w:r w:rsidRPr="001F04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265</w:t>
        </w:r>
      </w:hyperlink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убытки), осуществленные (понесенные) налогоплательщиком.</w:t>
      </w:r>
    </w:p>
    <w:p w:rsidR="001F0450" w:rsidRPr="001F0450" w:rsidRDefault="001F0450" w:rsidP="001F04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1956"/>
      <w:bookmarkEnd w:id="3"/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обоснованными расходами понимаются </w:t>
      </w:r>
      <w:r w:rsidRPr="00795B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экономически оправданные затраты</w:t>
      </w:r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оценка которых выражена в денежной форме.</w:t>
      </w:r>
    </w:p>
    <w:p w:rsidR="001F0450" w:rsidRPr="001F0450" w:rsidRDefault="001F0450" w:rsidP="001F045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190"/>
      <w:bookmarkEnd w:id="4"/>
      <w:proofErr w:type="gramStart"/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Федерации, либо документами, оформленными в соответствии с обычаями делового оборота, применяемыми в иностранном государстве, на территории которого были произведены соответствующие расходы, и (или) документами, косвенно </w:t>
      </w:r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подтверждающими произведенные расходы (в том числе таможенной декларацией, приказом о командировке, проездными документами, отчетом о выполненной работе в соответствии с договором</w:t>
      </w:r>
      <w:proofErr w:type="gramEnd"/>
      <w:r w:rsidRPr="001F0450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Расходами признаются любые затраты при условии, что они произведены для осуществления деятельности, направленной на получение дохода.</w:t>
      </w:r>
    </w:p>
    <w:p w:rsidR="001F0450" w:rsidRDefault="001F0450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F0450" w:rsidRDefault="009065C5" w:rsidP="009065C5">
      <w:pPr>
        <w:shd w:val="clear" w:color="auto" w:fill="FBFBFB"/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вопросу 7</w:t>
      </w:r>
    </w:p>
    <w:p w:rsidR="001F0450" w:rsidRDefault="001F0450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85783" w:rsidRPr="00485783" w:rsidRDefault="00485783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spellEnd"/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485783">
          <w:rPr>
            <w:rFonts w:ascii="Times New Roman" w:eastAsia="Times New Roman" w:hAnsi="Times New Roman" w:cs="Times New Roman"/>
            <w:color w:val="0A3A83"/>
            <w:sz w:val="24"/>
            <w:szCs w:val="24"/>
            <w:lang w:eastAsia="ru-RU"/>
          </w:rPr>
          <w:t>Федеральному закону</w:t>
        </w:r>
      </w:hyperlink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"О сельскохозяйственной кооперации" от 12.02.1997 г. с последующими изменениями и дополнениями) потребительские кооперативы являются некоммерческими организациями, соответственно организация бухгалтерского учета должна соответствовать требованиям и особенностям, установленным для некоммерческих организаций.</w:t>
      </w:r>
      <w:proofErr w:type="gramEnd"/>
    </w:p>
    <w:p w:rsidR="00485783" w:rsidRPr="00485783" w:rsidRDefault="00485783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вышеназванному </w:t>
      </w:r>
      <w:hyperlink r:id="rId9" w:history="1">
        <w:r w:rsidRPr="00485783">
          <w:rPr>
            <w:rFonts w:ascii="Times New Roman" w:eastAsia="Times New Roman" w:hAnsi="Times New Roman" w:cs="Times New Roman"/>
            <w:color w:val="0A3A83"/>
            <w:sz w:val="24"/>
            <w:szCs w:val="24"/>
            <w:lang w:eastAsia="ru-RU"/>
          </w:rPr>
          <w:t>законодательному акту</w:t>
        </w:r>
      </w:hyperlink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t>не менее 50% объема работ (услуг), выполняемых перерабатывающими, сбытовыми и снабженческими сельскохозяйственными потребительскими кооперативами, должно осуществляться для членов данных кооперативов.</w:t>
      </w:r>
    </w:p>
    <w:p w:rsidR="00485783" w:rsidRPr="00485783" w:rsidRDefault="00485783" w:rsidP="00485783">
      <w:pPr>
        <w:shd w:val="clear" w:color="auto" w:fill="FFFFE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члены сельскохозяйственного потребительского кооператива по причине недостатка сре</w:t>
      </w:r>
      <w:proofErr w:type="gramStart"/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инимают решение о ведении "активной", т.е. предпринимательской деятельности, связанной с производством продукции, выполнением работ, услуг, что не запрещено законодательством, то сразу возникает ряд проблем:</w:t>
      </w:r>
    </w:p>
    <w:p w:rsidR="00485783" w:rsidRPr="00485783" w:rsidRDefault="00485783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порядок учета и распределения прибыли. Согласно действующему законодательству прибыль должен получать не кооператив, а его члены в зависимости от участия в формировании объемов хозяйственной деятельности кооператива. В то же время сумма доходов, получаемых кооперативом, должна быть достаточной для покрытия расходов, связанных с организацией текущей хозяйственной деятельности и решением перспективных проблем развития кооператива;</w:t>
      </w:r>
    </w:p>
    <w:p w:rsidR="00485783" w:rsidRPr="00485783" w:rsidRDefault="00485783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необходимость ведения раздельного учета предпринимательской и непредпринимательской деятельности, что увеличивает финансовые и трудовые затраты;</w:t>
      </w:r>
    </w:p>
    <w:p w:rsidR="00485783" w:rsidRPr="00485783" w:rsidRDefault="00485783" w:rsidP="00485783">
      <w:pPr>
        <w:shd w:val="clear" w:color="auto" w:fill="FBFBFB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включение в себестоимость продукции (работ, услуг) административно-хозяйственных расходов</w:t>
      </w:r>
      <w:r w:rsidR="00736C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857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85783" w:rsidRDefault="00485783" w:rsidP="007D32A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85783" w:rsidRDefault="00485783" w:rsidP="007D32A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85783" w:rsidRDefault="00485783" w:rsidP="007D32A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485783" w:rsidRDefault="00485783" w:rsidP="007D32A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p w:rsidR="007D32A5" w:rsidRPr="007D32A5" w:rsidRDefault="007D32A5" w:rsidP="007D32A5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"Рекомендации по ведению бухгалтерского учета и отчетности в сельскохозяйственных потребительских кооперативах" (утв. Минсельхозом РФ 25.01.2001)</w:t>
      </w:r>
    </w:p>
    <w:p w:rsidR="007D32A5" w:rsidRDefault="006F0692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  <w:hyperlink r:id="rId10" w:history="1">
        <w:r w:rsidR="00736C08">
          <w:rPr>
            <w:rStyle w:val="a4"/>
          </w:rPr>
          <w:t>http://www.consultant.ru/document/cons_doc_LAW_92065/</w:t>
        </w:r>
      </w:hyperlink>
    </w:p>
    <w:p w:rsidR="007D32A5" w:rsidRPr="007D32A5" w:rsidRDefault="007D32A5" w:rsidP="007D32A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3.5. Прием в члены кооператива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59"/>
      <w:bookmarkEnd w:id="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Граждане или юридические лица, изъявившие желание вступить в кооператив после государственной регистрации и удовлетворяющие требованиям Федерального </w:t>
      </w:r>
      <w:hyperlink r:id="rId11" w:anchor="dst100158" w:history="1">
        <w:r w:rsidRPr="007D32A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о сельскохозяйственной кооперации, подают в правление кооператива заявление с просьбой о приеме в члены кооператива. Решение </w:t>
      </w: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правления кооператива о приеме нового члена подлежит утверждению наблюдательным советом кооператива, а при его отсутствии - общим собранием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60"/>
      <w:bookmarkEnd w:id="6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потребительском кооперативе решение наблюдательного совета (при его наличии) о приеме в члены кооператива, если иное не предусмотрено уставом кооператива, считается окончательным.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61"/>
      <w:bookmarkEnd w:id="7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Члену кооператива выдается членская книжка, в которой указывается: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62"/>
      <w:bookmarkEnd w:id="8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вид членства (основное или ассоциированное);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63"/>
      <w:bookmarkEnd w:id="9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размер обязательного пая и сроки его внесения;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64"/>
      <w:bookmarkEnd w:id="10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размер и количество дополнительных паев;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65"/>
      <w:bookmarkEnd w:id="11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форма паевого взноса (денежная, земельная, имущественная);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66"/>
      <w:bookmarkEnd w:id="12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размер кооперативных выплат, зачисленных в паевой взнос, и даты их зачисления;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67"/>
      <w:bookmarkEnd w:id="13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размер выплат паевых взносов и даты этих выплат;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68"/>
      <w:bookmarkEnd w:id="14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размер выплаченных дивидендов и даты их выплат.</w:t>
      </w: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Pr="007D32A5" w:rsidRDefault="007D32A5" w:rsidP="007D32A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4.1. Источники формирования имущества кооператива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85"/>
      <w:bookmarkEnd w:id="1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Источниками формирования имущества кооператива могут быть как собственные, так и заемные средства. При этом размер заемных средств не должен превышать 60% от общего объема средств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86"/>
      <w:bookmarkEnd w:id="16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Кооператив формирует собственные средства за счет паевых взносов членов кооператива, доходов от собственной деятельности, а также за счет доходов от размещения своих сре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дств в б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анках, от ценных бумаг и других.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87"/>
      <w:bookmarkEnd w:id="17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осуществления своей деятельности кооператив формирует фонды, составляющие имущество кооператива. Виды, размеры этих фондов, порядок их формирования и использования устанавливается общим собранием членов кооператива в соответствии с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88"/>
      <w:bookmarkEnd w:id="18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Уставом кооператива может быть предусмотрено, что определенную часть принадлежащего кооперативу имущества составляют неделимые фонды.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89"/>
      <w:bookmarkEnd w:id="19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 об образовании неделимых фондов, их размерах и видах относимого к неделимым фондам имущества принимается членами кооператива единогласно, если иное не предусмотрено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90"/>
      <w:bookmarkEnd w:id="20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Кооператив в обязательном порядке формирует резервный фонд, который 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 неделимым и размер которого должен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составлять не менее 10% от паевого фонда кооператива. Порядок формирования резервного фонда устанавливается уставом кооператива.</w:t>
      </w:r>
    </w:p>
    <w:bookmarkStart w:id="21" w:name="dst100091"/>
    <w:bookmarkEnd w:id="21"/>
    <w:p w:rsidR="007D32A5" w:rsidRPr="007D32A5" w:rsidRDefault="006F0692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7D32A5"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"http://www.consultant.ru/document/cons_doc_LAW_300845/0baaba9234d1af43a1b441169446e9fbc570df26/" \l "dst100180" </w:instrText>
      </w: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="007D32A5" w:rsidRPr="007D32A5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1 ст. 26</w:t>
      </w: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7D32A5"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12.01.96 N 7-ФЗ "О некоммерческих организациях" определены следующие источники формирования имущества некоммерческих организаций (далее - НКО): регулярные и единовременные поступления от учредителей (участников, членов);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92"/>
      <w:bookmarkEnd w:id="22"/>
      <w:r w:rsidRPr="000B5C60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добровольные и единовременные взносы и пожертвования;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93"/>
      <w:bookmarkEnd w:id="23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выручка от реализации товаров и услуг;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94"/>
      <w:bookmarkEnd w:id="24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дивиденды (доходы, проценты), получаемые по акциям, облигациям, другим ценным бумагам и вкладам;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95"/>
      <w:bookmarkEnd w:id="2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доходы, получаемые от собственности некоммерческой организации;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96"/>
      <w:bookmarkEnd w:id="26"/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другие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запрещенные законом поступления.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97"/>
      <w:bookmarkEnd w:id="27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том же </w:t>
      </w:r>
      <w:hyperlink r:id="rId12" w:anchor="dst100187" w:history="1">
        <w:r w:rsidRPr="007D32A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</w:t>
        </w:r>
      </w:hyperlink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указано, что "законом могут устанавливаться ограничения на источники доходов некоммерческих организаций отдельных видов".</w:t>
      </w: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Pr="007D32A5" w:rsidRDefault="007D32A5" w:rsidP="007D32A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4.2. Паевые взносы членов кооператива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99"/>
      <w:bookmarkEnd w:id="28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Имущество, находящееся в собственности кооператива, за исключением имущества, составляющего неделимые фонды, делится в денежном выражении на паевые взносы его членов в соответствии с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100"/>
      <w:bookmarkEnd w:id="29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Имущество паевого фонда кооператива и обязательного пая устанавливается на организационном собрании членов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101"/>
      <w:bookmarkEnd w:id="30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Обязательные паи в производственном кооперативе устанавливаются в равных размерах, а в потребительских кооперативах - пропорционально предполагаемому объему участия члена кооператива в хозяйственной деятельности данного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1" w:name="dst100102"/>
      <w:bookmarkEnd w:id="31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Члены кооператива могут вносить дополнительные паи, размер и 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условия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внесения которых предусматриваются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2" w:name="dst100103"/>
      <w:bookmarkEnd w:id="32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Учет паевых взносов ведется кооперативом в стоимостном выражении. В случае внесения в счет паевых взносов лицом, вступившим в кооператив, земельных участков, земельных и имущественных долей и иного имущества либо имущественных прав денежная оценка паевых взносов 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производится правлением кооператива и утверждается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общим собранием.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3" w:name="dst100104"/>
      <w:bookmarkEnd w:id="33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оценочной стоимости паевого взноса, превышающего размер обязательного пая, передается с согласия члена кооператива в его дополнительный пай.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4" w:name="dst100105"/>
      <w:bookmarkEnd w:id="34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производственного кооператива должен внести не менее 10% от обязательного пая к моменту государственной регистрации кооператива, остальную часть - в течение года с момента государственной регистрации.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5" w:name="dst100106"/>
      <w:bookmarkEnd w:id="3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Член потребительского кооператива должен внести не менее 25% от обязательного пая к моменту государственной регистрации кооператива, остальную часть - в сроки, которые предусмотрены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6" w:name="dst100107"/>
      <w:bookmarkEnd w:id="36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Решением общего собрания кооператива размер паевого фонда кооператива может быть увеличен или уменьшен. Размер паевого фонда не должен превышать размер чистых активов кооператива. В случае если размер паевого фонда кооператива превышает размер его чистых активов, паевой фонд кооператива уменьшается на указанную разницу путем пропорционального сокращения обязательных паевых взносов и приращенных паев членов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7" w:name="dst100108"/>
      <w:bookmarkEnd w:id="37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Увеличение размера паевого фонда осуществляется путем увеличения размера обязательных паевых взносов или за счет прироста приращенных паев.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8" w:name="dst100109"/>
      <w:bookmarkEnd w:id="38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изменений. Претензии кредиторов, предъявивших требования к кооперативу в течение шести месяцев после публикации сообщения об указанном уменьшении размера паевого фонда, должны быть удовлетворены.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9" w:name="dst100110"/>
      <w:bookmarkEnd w:id="39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Лицо, вступающее в члены кооператива после государственной регистрации, уплачивает обязательный пай в порядке и в сроки, которые установлены уставом </w:t>
      </w: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кооператива. В отдельных случаях, предусмотренных уставом, кооператив может выделять вновь вступающим членам кредиты для оплаты обязательного пая.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D32A5" w:rsidRPr="007D32A5" w:rsidRDefault="007D32A5" w:rsidP="007D32A5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D32A5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4.3. Распределение прибыли и покрытие убытка кооператива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0" w:name="dst100112"/>
      <w:bookmarkEnd w:id="40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Порядок распределения прибыли и покрытия убытка кооператива должен быть утвержден на общем собрании членов кооператива в течение трех месяцев после окончания финансового года.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1" w:name="dst100113"/>
      <w:bookmarkEnd w:id="41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Прибыль кооператива, определяемая по бухгалтерскому балансу, распределяется следующим образом: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2" w:name="dst100114"/>
      <w:bookmarkEnd w:id="42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резервный фонд и предусмотренные уставом кооператива иные неделимые фонды;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3" w:name="dst100115"/>
      <w:bookmarkEnd w:id="43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осуществления в соответствии с законодательством обязательных платежей в бюджет;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4" w:name="dst100116"/>
      <w:bookmarkEnd w:id="44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выплату причитающихся по дополнительным паям членов и паям ассоциированных членов кооператива дивидендов, общая сумма которых не должна превышать 30% от прибыли кооператива, подлежащей распределению;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5" w:name="dst100117"/>
      <w:bookmarkEnd w:id="4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кооперативные выплаты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;.</w:t>
      </w:r>
      <w:proofErr w:type="gramEnd"/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6" w:name="dst100118"/>
      <w:bookmarkEnd w:id="46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создание иных фондов, предусмотренных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7" w:name="dst100119"/>
      <w:bookmarkEnd w:id="47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Кооперативные выплаты используются в следующем порядке: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8" w:name="dst100120"/>
      <w:bookmarkEnd w:id="48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до 80% суммы кооперативных выплат по решению общего собрания может направляться на пополнение приращенных паев членов кооператива;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9" w:name="dst100121"/>
      <w:bookmarkEnd w:id="49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остаток кооперативных выплат членам кооператива выплачивается в порядке, установленном уставом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0" w:name="dst100122"/>
      <w:bookmarkEnd w:id="50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Средства, зачисленные в приращенные паи, используются: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1" w:name="dst100123"/>
      <w:bookmarkEnd w:id="51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на создание и расширение фондов кооператива;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2" w:name="dst100124"/>
      <w:bookmarkEnd w:id="52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на погашение приращенных паев. Погашение приращенных паев осуществляется при наличии в кооперативе необходимых средств и при условии формирования соответствующих фондов, предусмотренных уставом кооператива. При этом в первую очередь погашаются приращенные паи, сформированные в наиболее ранний период по отношению к году их погашения.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3" w:name="dst100125"/>
      <w:bookmarkEnd w:id="53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Убытки кооператива, определенные по бухгалтерскому балансу, распределяются между членами потребительского кооператива в соответствии с долей участия их в хозяйственной деятельности потребительского кооператива; между членами производственного кооператива в соответствии с 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размерами оплаты труда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членов производственного кооператива.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4" w:name="dst100126"/>
      <w:bookmarkEnd w:id="54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производственном кооперативе убытки покрываются в первую очередь за счет резервного фонда, во вторую очередь за счет уменьшения размеров приращенных паев или за счет дополнительного внесения паевых взносов.</w:t>
      </w:r>
    </w:p>
    <w:p w:rsidR="007D32A5" w:rsidRPr="007D32A5" w:rsidRDefault="007D32A5" w:rsidP="007D32A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5" w:name="dst100127"/>
      <w:bookmarkEnd w:id="55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потребительском кооперативе убытки покрываются в порядке, предусмотренном </w:t>
      </w:r>
      <w:hyperlink r:id="rId13" w:anchor="dst100403" w:history="1">
        <w:r w:rsidRPr="007D32A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п. 3 статьи 37</w:t>
        </w:r>
      </w:hyperlink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 сельскохозяйственной кооперации (</w:t>
      </w:r>
      <w:proofErr w:type="gramStart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14" w:anchor="dst100131" w:history="1">
        <w:r w:rsidRPr="007D32A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абзац 3</w:t>
        </w:r>
      </w:hyperlink>
      <w:r w:rsidRPr="007D32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следующей статьи настоящих методических рекомендаций - "имущественная ответственность кооператива и его членов").</w:t>
      </w: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Default="006F0692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  <w:hyperlink r:id="rId15" w:history="1">
        <w:r w:rsidR="00485783">
          <w:rPr>
            <w:rStyle w:val="a4"/>
          </w:rPr>
          <w:t>https://dokipedia.ru/document/5192052</w:t>
        </w:r>
      </w:hyperlink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</w:pP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aps/>
          <w:color w:val="175FA5"/>
          <w:sz w:val="36"/>
          <w:szCs w:val="36"/>
          <w:shd w:val="clear" w:color="auto" w:fill="F7FCFE"/>
        </w:rPr>
        <w:t>ПИСЬМО МИНФИНА РФ ОТ 28.03.2019 № 03-01-15/21078</w:t>
      </w: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налоговой и таможенной политики рассмотрел обращение, поступившее по информационным сетям общего пользования 27.02.2019, и по вопросу о применении контрольно-кассовой техники сообщает, что с учетом определения термина «расчеты» </w:t>
      </w:r>
      <w:hyperlink r:id="rId16" w:tgtFrame="_blank" w:history="1">
        <w:r>
          <w:rPr>
            <w:rStyle w:val="a4"/>
            <w:rFonts w:ascii="Tahoma" w:hAnsi="Tahoma" w:cs="Tahoma"/>
            <w:color w:val="005580"/>
            <w:sz w:val="21"/>
            <w:szCs w:val="21"/>
            <w:u w:val="none"/>
          </w:rPr>
          <w:t>Федерального закона от 22.05.2003 № 54-ФЗ</w:t>
        </w:r>
      </w:hyperlink>
      <w:r>
        <w:rPr>
          <w:rFonts w:ascii="Tahoma" w:hAnsi="Tahoma" w:cs="Tahoma"/>
          <w:color w:val="333333"/>
          <w:sz w:val="21"/>
          <w:szCs w:val="21"/>
        </w:rPr>
        <w:t> «О применении контрольно-кассовой техники при осуществлении расчетов в Российской Федерации» (статья 1.1) в случае предоставления кредитными потребительскими кооперативами и сельскохозяйственными кредитными потребительскими кооперативами (далее – кооперативы) займов, не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связанных с отсрочкой или рассрочкой по оплате за товары, работы или услуги, а также при погашении таких займов применение контрольно-кассовой техники не требуется. Кроме того, применение контрольно-кассовой техники не требуется при приеме кооперативами взносов от своих членов.</w:t>
      </w:r>
    </w:p>
    <w:p w:rsidR="007D32A5" w:rsidRDefault="007D32A5" w:rsidP="007D32A5">
      <w:pPr>
        <w:pStyle w:val="a3"/>
        <w:shd w:val="clear" w:color="auto" w:fill="FFFFFF"/>
        <w:spacing w:before="0" w:beforeAutospacing="0" w:after="300" w:afterAutospacing="0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 </w:t>
      </w:r>
      <w:hyperlink r:id="rId17" w:tgtFrame="_blank" w:history="1">
        <w:r>
          <w:rPr>
            <w:rStyle w:val="a4"/>
            <w:rFonts w:ascii="Tahoma" w:hAnsi="Tahoma" w:cs="Tahoma"/>
            <w:color w:val="005580"/>
            <w:sz w:val="21"/>
            <w:szCs w:val="21"/>
            <w:u w:val="none"/>
          </w:rPr>
          <w:t>Письмом Минфина России от 07.08.2007 № 03-02-07/2-138</w:t>
        </w:r>
      </w:hyperlink>
      <w:r>
        <w:rPr>
          <w:rFonts w:ascii="Tahoma" w:hAnsi="Tahoma" w:cs="Tahoma"/>
          <w:color w:val="333333"/>
          <w:sz w:val="21"/>
          <w:szCs w:val="21"/>
        </w:rPr>
        <w:t xml:space="preserve"> направляемое мнение Департамента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имеет информационно-разъяснительный характер по вопросам применения законодательства Российской Федерации и не препятствует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руководствоваться нормами законодательства в понимании, отличающемся от трактовки, изложенной в настоящем письме.</w:t>
      </w:r>
    </w:p>
    <w:p w:rsidR="005A25EA" w:rsidRDefault="005A25EA"/>
    <w:p w:rsidR="0011220E" w:rsidRDefault="009065C5" w:rsidP="009065C5">
      <w:pPr>
        <w:jc w:val="right"/>
      </w:pPr>
      <w:r>
        <w:t>к вопросу 10</w:t>
      </w:r>
    </w:p>
    <w:p w:rsidR="009065C5" w:rsidRDefault="00736C08" w:rsidP="00736C08">
      <w:r>
        <w:t xml:space="preserve">В счете: Организация </w:t>
      </w:r>
      <w:proofErr w:type="gramStart"/>
      <w:r>
        <w:t>автотранспортного</w:t>
      </w:r>
      <w:proofErr w:type="gramEnd"/>
      <w:r>
        <w:t xml:space="preserve"> </w:t>
      </w:r>
      <w:proofErr w:type="spellStart"/>
      <w:r>
        <w:t>трансфера</w:t>
      </w:r>
      <w:proofErr w:type="spellEnd"/>
      <w:r>
        <w:t xml:space="preserve"> (фамилия) (дата)</w:t>
      </w:r>
    </w:p>
    <w:p w:rsidR="00736C08" w:rsidRDefault="00736C08" w:rsidP="00736C08"/>
    <w:p w:rsidR="009065C5" w:rsidRPr="009065C5" w:rsidRDefault="006F0692" w:rsidP="009065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"Гражданский кодекс Российской Федерации (часть вторая)" от 26.01.1996 N 14-ФЗ (ред. от 29.07.2018, с </w:t>
        </w:r>
        <w:proofErr w:type="spellStart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 от 03.07.2019) (с </w:t>
        </w:r>
        <w:proofErr w:type="spellStart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изм</w:t>
        </w:r>
        <w:proofErr w:type="spellEnd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. и доп., вступ. в силу </w:t>
        </w:r>
        <w:proofErr w:type="gramStart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</w:t>
        </w:r>
        <w:proofErr w:type="gramEnd"/>
        <w:r w:rsidR="009065C5" w:rsidRPr="009065C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30.12.2018)</w:t>
        </w:r>
      </w:hyperlink>
    </w:p>
    <w:p w:rsidR="009065C5" w:rsidRPr="009065C5" w:rsidRDefault="009065C5" w:rsidP="009065C5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56" w:name="dst100564"/>
      <w:bookmarkEnd w:id="56"/>
      <w:r w:rsidRPr="00906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ГК РФ Статья 582. Пожертвования</w:t>
      </w:r>
    </w:p>
    <w:p w:rsidR="009065C5" w:rsidRPr="009065C5" w:rsidRDefault="009065C5" w:rsidP="009065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65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9065C5" w:rsidRPr="009065C5" w:rsidRDefault="009065C5" w:rsidP="009065C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dst186"/>
      <w:bookmarkEnd w:id="57"/>
      <w:r w:rsidRPr="0090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Пожертвованием признается дарение вещи или права в </w:t>
      </w:r>
      <w:r w:rsidRPr="007116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общеполезных целях</w:t>
      </w:r>
      <w:r w:rsidRPr="0090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Пожертвования могут делаться гражданам, медицинским, образовательным организациям, организациям социального обслуживания и другим аналогичным организациям, благотворительным и научным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права, указанным в </w:t>
      </w:r>
      <w:hyperlink r:id="rId19" w:anchor="dst100768" w:history="1">
        <w:r w:rsidRPr="009065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124</w:t>
        </w:r>
      </w:hyperlink>
      <w:r w:rsidRPr="0090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9065C5" w:rsidRDefault="009065C5" w:rsidP="009065C5">
      <w:pPr>
        <w:jc w:val="right"/>
      </w:pPr>
    </w:p>
    <w:p w:rsidR="00AA2F8E" w:rsidRDefault="00AA2F8E" w:rsidP="009065C5">
      <w:pPr>
        <w:jc w:val="right"/>
      </w:pPr>
    </w:p>
    <w:p w:rsidR="00AA2F8E" w:rsidRPr="00AA2F8E" w:rsidRDefault="00AA2F8E" w:rsidP="00AA2F8E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2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ГК РФ Статья 572. Договор дарения</w:t>
      </w:r>
    </w:p>
    <w:p w:rsidR="00AA2F8E" w:rsidRPr="00AA2F8E" w:rsidRDefault="00AA2F8E" w:rsidP="00AA2F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2F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AA2F8E" w:rsidRPr="00AA2F8E" w:rsidRDefault="00AA2F8E" w:rsidP="00AA2F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515"/>
      <w:bookmarkEnd w:id="58"/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договору дарения одна сторона (даритель) </w:t>
      </w:r>
      <w:hyperlink r:id="rId20" w:anchor="dst100124" w:history="1">
        <w:r w:rsidRPr="00AA2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безвозмездно</w:t>
        </w:r>
      </w:hyperlink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или обязуется передать другой стороне (одаряемому) вещь в собственность либо имущественное право (требование) к себе или к третьему лицу либо </w:t>
      </w:r>
      <w:r w:rsidRPr="0071162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освобождает или обязуется освободить ее от имущественной обязанности</w:t>
      </w:r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собой или перед третьим лицом.</w:t>
      </w:r>
    </w:p>
    <w:p w:rsidR="00AA2F8E" w:rsidRPr="00AA2F8E" w:rsidRDefault="00AA2F8E" w:rsidP="00AA2F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516"/>
      <w:bookmarkEnd w:id="59"/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</w:t>
      </w:r>
      <w:hyperlink r:id="rId21" w:anchor="dst100961" w:history="1">
        <w:r w:rsidRPr="00AA2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 статьи 170</w:t>
        </w:r>
      </w:hyperlink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AA2F8E" w:rsidRPr="00AA2F8E" w:rsidRDefault="00AA2F8E" w:rsidP="00AA2F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517"/>
      <w:bookmarkEnd w:id="60"/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</w:t>
      </w:r>
      <w:hyperlink r:id="rId22" w:anchor="dst100528" w:history="1">
        <w:r w:rsidRPr="00AA2F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(пункт 2 статьи 574)</w:t>
        </w:r>
      </w:hyperlink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  <w:proofErr w:type="gramEnd"/>
    </w:p>
    <w:p w:rsidR="00AA2F8E" w:rsidRPr="00AA2F8E" w:rsidRDefault="00AA2F8E" w:rsidP="00AA2F8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dst100518"/>
      <w:bookmarkEnd w:id="61"/>
      <w:r w:rsidRPr="00AA2F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AA2F8E" w:rsidRDefault="00AA2F8E" w:rsidP="009065C5">
      <w:pPr>
        <w:jc w:val="right"/>
      </w:pPr>
    </w:p>
    <w:p w:rsidR="0011220E" w:rsidRDefault="0011220E"/>
    <w:p w:rsidR="0011220E" w:rsidRDefault="0011220E">
      <w:r>
        <w:t>Социальный налоговый вычет</w:t>
      </w:r>
    </w:p>
    <w:p w:rsidR="0011220E" w:rsidRDefault="0011220E"/>
    <w:p w:rsidR="0011220E" w:rsidRPr="0011220E" w:rsidRDefault="0011220E" w:rsidP="0011220E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НК РФ Статья 219. Социальные налоговые вычеты</w:t>
      </w:r>
    </w:p>
    <w:tbl>
      <w:tblPr>
        <w:tblW w:w="559" w:type="dxa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"/>
        <w:gridCol w:w="246"/>
      </w:tblGrid>
      <w:tr w:rsidR="0011220E" w:rsidRPr="0011220E" w:rsidTr="00736C08">
        <w:trPr>
          <w:trHeight w:val="177"/>
          <w:tblCellSpacing w:w="15" w:type="dxa"/>
        </w:trPr>
        <w:tc>
          <w:tcPr>
            <w:tcW w:w="328" w:type="dxa"/>
            <w:shd w:val="clear" w:color="auto" w:fill="F0F0EB"/>
            <w:vAlign w:val="center"/>
            <w:hideMark/>
          </w:tcPr>
          <w:p w:rsidR="0011220E" w:rsidRPr="0011220E" w:rsidRDefault="0011220E" w:rsidP="00112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11220E" w:rsidRPr="0011220E" w:rsidRDefault="0011220E" w:rsidP="00112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20E" w:rsidRPr="0011220E" w:rsidRDefault="0011220E" w:rsidP="0011220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2" w:name="dst3579"/>
      <w:bookmarkEnd w:id="62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При определении размера налоговой базы в соответствии с </w:t>
      </w:r>
      <w:hyperlink r:id="rId23" w:anchor="dst17317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3 статьи 210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Кодекса налогоплательщик имеет право на получение следующих социальных налоговых вычетов: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4" w:anchor="dst100111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24.07.2007 N 216-ФЗ)</w:t>
      </w:r>
    </w:p>
    <w:p w:rsidR="0011220E" w:rsidRPr="0011220E" w:rsidRDefault="0011220E" w:rsidP="0011220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3" w:name="dst7284"/>
      <w:bookmarkEnd w:id="63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в сумме доходов, перечисляемых налогоплательщиком в виде пожертвований: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4" w:name="dst7285"/>
      <w:bookmarkEnd w:id="64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благотворительным организациям;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5" w:name="dst7286"/>
      <w:bookmarkEnd w:id="65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социально ориентированным некоммерческим организациям на осуществление ими деятельности, предусмотренной </w:t>
      </w:r>
      <w:proofErr w:type="spellStart"/>
      <w:r w:rsidR="006F0692"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"http://www.consultant.ru/document/cons_doc_LAW_300845/87a16eb8a9431fff64d0d78eb84f86accc003448/" \l "dst124" </w:instrText>
      </w:r>
      <w:r w:rsidR="006F0692"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11220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законодательством</w:t>
      </w:r>
      <w:r w:rsidR="006F0692"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</w:t>
      </w:r>
      <w:proofErr w:type="spell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Федерации о некоммерческих организациях;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6" w:name="dst7287"/>
      <w:bookmarkEnd w:id="66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некоммерческим организациям, осуществляющим деятельность в области науки, культуры, физической культуры и спорта (за исключением </w:t>
      </w: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профессионального спорта), образования, просвещения, здравоохранения, защиты прав и свобод человека и гражданина, социальной и правовой поддержки и защиты граждан, содействия защите граждан от чрезвычайных ситуаций, охраны окружающей среды и защиты животных;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7" w:name="dst7288"/>
      <w:bookmarkEnd w:id="67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религиозным организациям на осуществление ими уставной деятельности;</w:t>
      </w:r>
    </w:p>
    <w:p w:rsidR="0011220E" w:rsidRPr="0011220E" w:rsidRDefault="0011220E" w:rsidP="0051519B">
      <w:pPr>
        <w:shd w:val="clear" w:color="auto" w:fill="FFFFFF"/>
        <w:spacing w:after="0" w:line="290" w:lineRule="atLeast"/>
        <w:ind w:firstLine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8" w:name="dst7289"/>
      <w:bookmarkEnd w:id="68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некоммерческим организациям на формирование или пополнение целевого капитала, которые осуществляются в порядке, установленном Федеральным </w:t>
      </w:r>
      <w:hyperlink r:id="rId25" w:anchor="dst0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 декабря 2006 года N 275-ФЗ "О порядке формирования и использования целевого капитала некоммерческих организаций".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9" w:name="dst16970"/>
      <w:bookmarkEnd w:id="69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Указанный в настоящем подпункте вычет предоставляется в размере фактически произведенных расходов, но не более </w:t>
      </w:r>
      <w:r w:rsidRPr="00DE311E"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ru-RU"/>
        </w:rPr>
        <w:t>25 процентов суммы дохода, полученного в налоговом периоде и подлежащего налогообложению.</w:t>
      </w: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получателями пожертвований являются государственные и муниципальные учреждения, осуществляющие деятельность в области культуры, а также некоммерческие организации (фонды) в случае перечисления им пожертвований на формирование целевого капитала в целях поддержки указанных учреждений, предельный размер вычета, установленный настоящим абзацем, может быть увеличен законом субъекта Российской Федерации до 30 процентов суммы дохода, полученного в налоговом периоде и подлежащего налогообложению.</w:t>
      </w:r>
      <w:proofErr w:type="gram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Указанным законом субъекта Российской Федерации также могут быть установлены категории государственных, муниципальных учреждений, осуществляющих деятельность в области культуры, и некоммерческих организаций (фондов), пожертвования которым могут быть приняты к вычету в увеличенном предельном размере.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26" w:anchor="dst100010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27.11.2018 N 426-ФЗ)</w:t>
      </w:r>
    </w:p>
    <w:p w:rsidR="0011220E" w:rsidRPr="0011220E" w:rsidRDefault="0011220E" w:rsidP="0011220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0" w:name="dst7291"/>
      <w:bookmarkEnd w:id="70"/>
      <w:proofErr w:type="gram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возврате налогоплательщику пожертвования, в связи с перечислением которого им был применен социальный налоговый вычет в соответствии с настоящим подпунктом, в том числе в случае расформирования целевого капитала некоммерческой организации, отмены пожертвования или в ином случае, если возврат имущества, переданного на формирование или пополнение целевого капитала некоммерческой организации, предусмотрен договором пожертвования и (или) Федеральным </w:t>
      </w:r>
      <w:hyperlink r:id="rId27" w:anchor="dst0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 декабря 2006 года</w:t>
      </w:r>
      <w:proofErr w:type="gram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N 275-ФЗ "О порядке формирования и использования целевого капитала некоммерческих организаций", налогоплательщик обязан включить в налоговую базу налогового периода, в котором имущество или его денежный эквивалент были фактически возвращены, сумму социального налогового вычета, предоставленного в связи с перечислением некоммерческой организации соответствующего пожертвования;</w:t>
      </w:r>
    </w:p>
    <w:p w:rsidR="0011220E" w:rsidRPr="0011220E" w:rsidRDefault="0011220E" w:rsidP="0011220E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1 в ред. Федерального </w:t>
      </w:r>
      <w:hyperlink r:id="rId28" w:anchor="dst100064" w:history="1">
        <w:r w:rsidRPr="0011220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18.07.2011 N 235-ФЗ (ред. 21.11.2011))</w:t>
      </w:r>
    </w:p>
    <w:p w:rsidR="0011220E" w:rsidRPr="0011220E" w:rsidRDefault="0011220E" w:rsidP="0011220E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1220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11220E" w:rsidRDefault="0011220E"/>
    <w:p w:rsidR="0011220E" w:rsidRDefault="0051519B" w:rsidP="0051519B">
      <w:pPr>
        <w:jc w:val="right"/>
      </w:pPr>
      <w:r>
        <w:t>к вопросу 13</w:t>
      </w:r>
    </w:p>
    <w:p w:rsidR="0011220E" w:rsidRDefault="0011220E"/>
    <w:p w:rsidR="0011220E" w:rsidRPr="0011220E" w:rsidRDefault="006F0692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="0011220E" w:rsidRPr="0011220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"Налоговый кодекс Российской Федерации (часть вторая)" от 05.08.2000 N 117-ФЗ </w:t>
        </w:r>
      </w:hyperlink>
    </w:p>
    <w:p w:rsidR="0011220E" w:rsidRPr="0011220E" w:rsidRDefault="0011220E" w:rsidP="0011220E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71" w:name="dst103619"/>
      <w:bookmarkEnd w:id="71"/>
      <w:r w:rsidRPr="00112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НК РФ Статья 346.15. Порядок определения доходов</w:t>
      </w:r>
    </w:p>
    <w:p w:rsidR="0011220E" w:rsidRPr="0011220E" w:rsidRDefault="0011220E" w:rsidP="001122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122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dst11849"/>
      <w:bookmarkEnd w:id="72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определении объекта налогообложения учитываются доходы, определяемые в порядке, установленном </w:t>
      </w:r>
      <w:hyperlink r:id="rId30" w:anchor="dst101847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" w:anchor="dst101855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статьи 248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 в ред. Федерального </w:t>
      </w:r>
      <w:hyperlink r:id="rId32" w:anchor="dst100018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06.04.2015 N 84-ФЗ)</w:t>
      </w:r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73" w:name="dst4106"/>
      <w:bookmarkEnd w:id="73"/>
      <w:r w:rsidRPr="00D80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1.1. При определении объекта налогообложения не учитываются: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dst4107"/>
      <w:bookmarkEnd w:id="74"/>
      <w:r w:rsidRPr="00D80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1) доходы, указанные в </w:t>
      </w:r>
      <w:hyperlink r:id="rId33" w:anchor="dst101893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статье 251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настоящего Кодекса;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dst11214"/>
      <w:bookmarkEnd w:id="75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доходы организации, облагаемые налогом на прибыль организаций по налоговым ставкам, предусмотренным </w:t>
      </w:r>
      <w:hyperlink r:id="rId34" w:anchor="dst10956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1.6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5" w:anchor="dst3296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6" w:anchor="dst694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284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 порядке, установленном </w:t>
      </w:r>
      <w:hyperlink r:id="rId37" w:anchor="dst101834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25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38" w:anchor="dst100352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24.11.2014 N 376-ФЗ)</w:t>
      </w:r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dst4109"/>
      <w:bookmarkEnd w:id="76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доходы индивидуального предпринимателя, облагаемые налогом на доходы физических лиц по налоговым ставкам, предусмотренным </w:t>
      </w:r>
      <w:hyperlink r:id="rId39" w:anchor="dst101443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2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0" w:anchor="dst10874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1" w:anchor="dst737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статьи 224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в порядке, установленном </w:t>
      </w:r>
      <w:hyperlink r:id="rId42" w:anchor="dst101069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главой 23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Кодекса;</w:t>
      </w:r>
    </w:p>
    <w:p w:rsidR="0011220E" w:rsidRPr="0011220E" w:rsidRDefault="0011220E" w:rsidP="0011220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dst15180"/>
      <w:bookmarkEnd w:id="77"/>
      <w:proofErr w:type="gram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доходы, полученные товариществами собственников жилья, товариществами собственников недвижимости, управляющими организациями, садоводческими, огородническими или дачными некоммерческими товариществами (некоммерческими партнерствами), жилищными, садоводческими, огородническими, дачными или иными специализированными потребительскими кооперативами от собственников (пользователей) недвижимости в оплату коммунальных услуг, оказанных сторонними организациями.</w:t>
      </w:r>
      <w:proofErr w:type="gramEnd"/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</w:t>
      </w:r>
      <w:proofErr w:type="gram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3" w:anchor="dst100646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27.11.2017 N 335-ФЗ)</w:t>
      </w:r>
    </w:p>
    <w:p w:rsidR="0011220E" w:rsidRPr="0011220E" w:rsidRDefault="0011220E" w:rsidP="00112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 </w:t>
      </w:r>
      <w:proofErr w:type="gramStart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44" w:anchor="dst100068" w:history="1">
        <w:r w:rsidRPr="001122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112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22.07.2008 N 155-ФЗ)</w:t>
      </w:r>
    </w:p>
    <w:p w:rsidR="0011220E" w:rsidRDefault="0011220E"/>
    <w:p w:rsidR="00D8057E" w:rsidRDefault="00D8057E"/>
    <w:p w:rsidR="00D8057E" w:rsidRDefault="00D8057E" w:rsidP="00D8057E">
      <w:pPr>
        <w:pStyle w:val="1"/>
      </w:pPr>
      <w:r>
        <w:rPr>
          <w:rStyle w:val="hl"/>
        </w:rPr>
        <w:t>НК РФ Статья 251. Доходы, не учитываемые при определении налоговой базы</w:t>
      </w:r>
    </w:p>
    <w:p w:rsidR="00D8057E" w:rsidRDefault="00D8057E"/>
    <w:p w:rsidR="00D8057E" w:rsidRPr="00D8057E" w:rsidRDefault="00D8057E" w:rsidP="00D80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определении налоговой базы также не учитываются целевые поступления (за исключением целевых поступлений в виде </w:t>
      </w:r>
      <w:hyperlink r:id="rId45" w:anchor="dst100661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подакцизных товаров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фондов, а также целевые поступления от других организаций и (или) физических лиц и использованные указанными получателями по назначению.</w:t>
      </w:r>
      <w:proofErr w:type="gramEnd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налогоплательщики - получатели указанных целевых </w:t>
      </w: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поступлений обязаны вести раздельный учет доходов (расходов), полученных (понесенных) в рамках целевых поступлений.</w:t>
      </w:r>
    </w:p>
    <w:p w:rsidR="00D8057E" w:rsidRPr="00D8057E" w:rsidRDefault="00D8057E" w:rsidP="00D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6" w:anchor="dst100300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25.11.2009 N 281-ФЗ)</w:t>
      </w:r>
    </w:p>
    <w:p w:rsidR="00D8057E" w:rsidRPr="00D8057E" w:rsidRDefault="00D8057E" w:rsidP="00D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D8057E" w:rsidRPr="00D8057E" w:rsidRDefault="00D8057E" w:rsidP="00D80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dst3765"/>
      <w:bookmarkEnd w:id="78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поступлениям на содержание некоммерческих организаций и ведение ими уставной деятельности относятся:</w:t>
      </w:r>
    </w:p>
    <w:p w:rsidR="00D8057E" w:rsidRPr="00D8057E" w:rsidRDefault="00D8057E" w:rsidP="00D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47" w:anchor="dst100022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29.11.2007 N 284-ФЗ)</w:t>
      </w:r>
    </w:p>
    <w:p w:rsidR="00D8057E" w:rsidRPr="00D8057E" w:rsidRDefault="00D8057E" w:rsidP="00D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 в предыдущей редакции)</w:t>
      </w:r>
    </w:p>
    <w:p w:rsidR="00D8057E" w:rsidRPr="00D8057E" w:rsidRDefault="00D8057E" w:rsidP="00D8057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dst6758"/>
      <w:bookmarkEnd w:id="79"/>
      <w:proofErr w:type="gramStart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151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) осуществленные в соответствии с </w:t>
      </w:r>
      <w:hyperlink r:id="rId48" w:anchor="dst0" w:history="1">
        <w:r w:rsidRPr="0051519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законодательством</w:t>
        </w:r>
      </w:hyperlink>
      <w:r w:rsidRPr="005151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 </w:t>
      </w:r>
      <w:hyperlink r:id="rId49" w:anchor="dst100564" w:history="1">
        <w:r w:rsidRPr="0051519B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u w:val="single"/>
            <w:lang w:eastAsia="ru-RU"/>
          </w:rPr>
          <w:t>законодательством</w:t>
        </w:r>
      </w:hyperlink>
      <w:r w:rsidRPr="0051519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Российской Федерации,</w:t>
      </w:r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 </w:t>
      </w:r>
      <w:hyperlink r:id="rId50" w:anchor="dst103198" w:history="1">
        <w:r w:rsidRPr="00D8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324</w:t>
        </w:r>
      </w:hyperlink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порядке резерва на проведение ремонта, капитального ремонта общего имущества</w:t>
      </w:r>
      <w:proofErr w:type="gramEnd"/>
      <w:r w:rsidRPr="00D80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производятся товариществу собственников жилья, жилищному кооперативу, садоводческому, садово-огородному, гаражно-строительному, жилищно-строительному кооперативу или иному специализированному потребительскому кооперативу их членами;</w:t>
      </w:r>
    </w:p>
    <w:p w:rsidR="00D8057E" w:rsidRDefault="00D8057E"/>
    <w:sectPr w:rsidR="00D8057E" w:rsidSect="005A2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2A5"/>
    <w:rsid w:val="000B5C60"/>
    <w:rsid w:val="0011220E"/>
    <w:rsid w:val="001F0450"/>
    <w:rsid w:val="003A5A84"/>
    <w:rsid w:val="00485783"/>
    <w:rsid w:val="0051519B"/>
    <w:rsid w:val="005A25EA"/>
    <w:rsid w:val="006F0692"/>
    <w:rsid w:val="0071162D"/>
    <w:rsid w:val="00736C08"/>
    <w:rsid w:val="00795B35"/>
    <w:rsid w:val="007D32A5"/>
    <w:rsid w:val="009065C5"/>
    <w:rsid w:val="00AA2F8E"/>
    <w:rsid w:val="00D8057E"/>
    <w:rsid w:val="00DB159B"/>
    <w:rsid w:val="00DE311E"/>
    <w:rsid w:val="00FD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EA"/>
  </w:style>
  <w:style w:type="paragraph" w:styleId="1">
    <w:name w:val="heading 1"/>
    <w:basedOn w:val="a"/>
    <w:link w:val="10"/>
    <w:uiPriority w:val="9"/>
    <w:qFormat/>
    <w:rsid w:val="007D32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32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32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32A5"/>
  </w:style>
  <w:style w:type="character" w:customStyle="1" w:styleId="nobr">
    <w:name w:val="nobr"/>
    <w:basedOn w:val="a0"/>
    <w:rsid w:val="007D32A5"/>
  </w:style>
  <w:style w:type="character" w:customStyle="1" w:styleId="hl">
    <w:name w:val="hl"/>
    <w:basedOn w:val="a0"/>
    <w:rsid w:val="0011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6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7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6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8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6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6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6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2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4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6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3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1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8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00848/9fe4a73919d579cb33f2a75942ba31a0212b8a75/" TargetMode="External"/><Relationship Id="rId18" Type="http://schemas.openxmlformats.org/officeDocument/2006/relationships/hyperlink" Target="http://www.consultant.ru/document/cons_doc_LAW_9027/" TargetMode="External"/><Relationship Id="rId26" Type="http://schemas.openxmlformats.org/officeDocument/2006/relationships/hyperlink" Target="http://www.consultant.ru/document/cons_doc_LAW_311974/3d0cac60971a511280cbba229d9b6329c07731f7/" TargetMode="External"/><Relationship Id="rId39" Type="http://schemas.openxmlformats.org/officeDocument/2006/relationships/hyperlink" Target="http://www.consultant.ru/document/cons_doc_LAW_328422/3e4bbd6dd9fb5dd4e9394f447653506e1d6fa3a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2579/4721eaf980204a7ee93eb51b30688e14998af84a/" TargetMode="External"/><Relationship Id="rId34" Type="http://schemas.openxmlformats.org/officeDocument/2006/relationships/hyperlink" Target="http://www.consultant.ru/document/cons_doc_LAW_328422/eb9180fc785448d58fe76ef323fb67d1832b9363/" TargetMode="External"/><Relationship Id="rId42" Type="http://schemas.openxmlformats.org/officeDocument/2006/relationships/hyperlink" Target="http://www.consultant.ru/document/cons_doc_LAW_328422/6e508f67e051bccbe249e6f0aebb2fa31f61a111/" TargetMode="External"/><Relationship Id="rId47" Type="http://schemas.openxmlformats.org/officeDocument/2006/relationships/hyperlink" Target="http://www.consultant.ru/document/cons_doc_LAW_101680/3d0cac60971a511280cbba229d9b6329c07731f7/" TargetMode="External"/><Relationship Id="rId50" Type="http://schemas.openxmlformats.org/officeDocument/2006/relationships/hyperlink" Target="http://www.consultant.ru/document/cons_doc_LAW_328422/e0c3943a42848d2e417221344fff719ce2a03934/" TargetMode="External"/><Relationship Id="rId7" Type="http://schemas.openxmlformats.org/officeDocument/2006/relationships/hyperlink" Target="http://www.consultant.ru/document/cons_doc_LAW_328422/a2342761bef95f844ec8f330bef11c6d60174f8f/" TargetMode="External"/><Relationship Id="rId12" Type="http://schemas.openxmlformats.org/officeDocument/2006/relationships/hyperlink" Target="http://www.consultant.ru/document/cons_doc_LAW_300845/0baaba9234d1af43a1b441169446e9fbc570df26/" TargetMode="External"/><Relationship Id="rId17" Type="http://schemas.openxmlformats.org/officeDocument/2006/relationships/hyperlink" Target="https://audar-info.ru/na/article/view/type_id/15/doc_id/27647/" TargetMode="External"/><Relationship Id="rId25" Type="http://schemas.openxmlformats.org/officeDocument/2006/relationships/hyperlink" Target="http://www.consultant.ru/document/cons_doc_LAW_149890/" TargetMode="External"/><Relationship Id="rId33" Type="http://schemas.openxmlformats.org/officeDocument/2006/relationships/hyperlink" Target="http://www.consultant.ru/document/cons_doc_LAW_328422/850d11e08b0cb09a2318af00f2f0aff805d39c85/" TargetMode="External"/><Relationship Id="rId38" Type="http://schemas.openxmlformats.org/officeDocument/2006/relationships/hyperlink" Target="http://www.consultant.ru/document/cons_doc_LAW_310891/b004fed0b70d0f223e4a81f8ad6cd92af90a7e3b/" TargetMode="External"/><Relationship Id="rId46" Type="http://schemas.openxmlformats.org/officeDocument/2006/relationships/hyperlink" Target="http://www.consultant.ru/document/cons_doc_LAW_201167/b004fed0b70d0f223e4a81f8ad6cd92af90a7e3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udar-info.ru/na/editArticle/index/type_id/1/doc_id/2445/release_id/4954/" TargetMode="External"/><Relationship Id="rId20" Type="http://schemas.openxmlformats.org/officeDocument/2006/relationships/hyperlink" Target="http://www.consultant.ru/document/cons_doc_LAW_74034/5094bcde2a906064402ba40eb62a3a3d4054092d/" TargetMode="External"/><Relationship Id="rId29" Type="http://schemas.openxmlformats.org/officeDocument/2006/relationships/hyperlink" Target="http://www.consultant.ru/document/cons_doc_LAW_28165/" TargetMode="External"/><Relationship Id="rId41" Type="http://schemas.openxmlformats.org/officeDocument/2006/relationships/hyperlink" Target="http://www.consultant.ru/document/cons_doc_LAW_328422/3e4bbd6dd9fb5dd4e9394f447653506e1d6fa3a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8422/4a9b9d33ed310f587a190f133c589bb8711456b0/" TargetMode="External"/><Relationship Id="rId11" Type="http://schemas.openxmlformats.org/officeDocument/2006/relationships/hyperlink" Target="http://www.consultant.ru/document/cons_doc_LAW_300848/8560c48c3e76bc5f0b206a17a8b3db9280624386/" TargetMode="External"/><Relationship Id="rId24" Type="http://schemas.openxmlformats.org/officeDocument/2006/relationships/hyperlink" Target="http://www.consultant.ru/document/cons_doc_LAW_189287/3d0cac60971a511280cbba229d9b6329c07731f7/" TargetMode="External"/><Relationship Id="rId32" Type="http://schemas.openxmlformats.org/officeDocument/2006/relationships/hyperlink" Target="http://www.consultant.ru/document/cons_doc_LAW_177598/3d0cac60971a511280cbba229d9b6329c07731f7/" TargetMode="External"/><Relationship Id="rId37" Type="http://schemas.openxmlformats.org/officeDocument/2006/relationships/hyperlink" Target="http://www.consultant.ru/document/cons_doc_LAW_328422/043b3ec883ce309e856dd0c833f5b8b817c276e9/" TargetMode="External"/><Relationship Id="rId40" Type="http://schemas.openxmlformats.org/officeDocument/2006/relationships/hyperlink" Target="http://www.consultant.ru/document/cons_doc_LAW_328422/3e4bbd6dd9fb5dd4e9394f447653506e1d6fa3a9/" TargetMode="External"/><Relationship Id="rId45" Type="http://schemas.openxmlformats.org/officeDocument/2006/relationships/hyperlink" Target="http://www.consultant.ru/document/cons_doc_LAW_328422/c4dda76950086823809763473e10fa70d9707463/" TargetMode="External"/><Relationship Id="rId5" Type="http://schemas.openxmlformats.org/officeDocument/2006/relationships/hyperlink" Target="http://www.consultant.ru/document/cons_doc_LAW_328422/c4dda76950086823809763473e10fa70d9707463/" TargetMode="External"/><Relationship Id="rId15" Type="http://schemas.openxmlformats.org/officeDocument/2006/relationships/hyperlink" Target="https://dokipedia.ru/document/5192052" TargetMode="External"/><Relationship Id="rId23" Type="http://schemas.openxmlformats.org/officeDocument/2006/relationships/hyperlink" Target="http://www.consultant.ru/document/cons_doc_LAW_328422/9b06776ae7a39546ad4e3ba04bebef14baabf8d2/" TargetMode="External"/><Relationship Id="rId28" Type="http://schemas.openxmlformats.org/officeDocument/2006/relationships/hyperlink" Target="http://www.consultant.ru/document/cons_doc_LAW_121950/3d0cac60971a511280cbba229d9b6329c07731f7/" TargetMode="External"/><Relationship Id="rId36" Type="http://schemas.openxmlformats.org/officeDocument/2006/relationships/hyperlink" Target="http://www.consultant.ru/document/cons_doc_LAW_328422/eb9180fc785448d58fe76ef323fb67d1832b9363/" TargetMode="External"/><Relationship Id="rId49" Type="http://schemas.openxmlformats.org/officeDocument/2006/relationships/hyperlink" Target="http://www.consultant.ru/document/cons_doc_LAW_300853/a0e91c7e19fe89bcaec22682e719eebc0777ba59/" TargetMode="External"/><Relationship Id="rId10" Type="http://schemas.openxmlformats.org/officeDocument/2006/relationships/hyperlink" Target="http://www.consultant.ru/document/cons_doc_LAW_92065/" TargetMode="External"/><Relationship Id="rId19" Type="http://schemas.openxmlformats.org/officeDocument/2006/relationships/hyperlink" Target="http://www.consultant.ru/document/cons_doc_LAW_312579/99b7be87680eed1c2e9c4f0738d52a442645ce07/" TargetMode="External"/><Relationship Id="rId31" Type="http://schemas.openxmlformats.org/officeDocument/2006/relationships/hyperlink" Target="http://www.consultant.ru/document/cons_doc_LAW_328422/8dfc66340782162248d64306f483acdacf04e176/" TargetMode="External"/><Relationship Id="rId44" Type="http://schemas.openxmlformats.org/officeDocument/2006/relationships/hyperlink" Target="http://www.consultant.ru/document/cons_doc_LAW_131603/3d0cac60971a511280cbba229d9b6329c07731f7/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www.consultant.ru/document/cons_doc_LAW_28165/" TargetMode="External"/><Relationship Id="rId9" Type="http://schemas.openxmlformats.org/officeDocument/2006/relationships/hyperlink" Target="https://dokipedia.ru/document/5156664?pid=60" TargetMode="External"/><Relationship Id="rId14" Type="http://schemas.openxmlformats.org/officeDocument/2006/relationships/hyperlink" Target="http://www.consultant.ru/document/cons_doc_LAW_92065/fbc1f190606cadeb57d557362a2ef0c07402837a/" TargetMode="External"/><Relationship Id="rId22" Type="http://schemas.openxmlformats.org/officeDocument/2006/relationships/hyperlink" Target="http://www.consultant.ru/document/cons_doc_LAW_300853/38e5ae3585f72de3522eeb3d3420eb185d57c18d/" TargetMode="External"/><Relationship Id="rId27" Type="http://schemas.openxmlformats.org/officeDocument/2006/relationships/hyperlink" Target="http://www.consultant.ru/document/cons_doc_LAW_149890/" TargetMode="External"/><Relationship Id="rId30" Type="http://schemas.openxmlformats.org/officeDocument/2006/relationships/hyperlink" Target="http://www.consultant.ru/document/cons_doc_LAW_328422/8dfc66340782162248d64306f483acdacf04e176/" TargetMode="External"/><Relationship Id="rId35" Type="http://schemas.openxmlformats.org/officeDocument/2006/relationships/hyperlink" Target="http://www.consultant.ru/document/cons_doc_LAW_328422/eb9180fc785448d58fe76ef323fb67d1832b9363/" TargetMode="External"/><Relationship Id="rId43" Type="http://schemas.openxmlformats.org/officeDocument/2006/relationships/hyperlink" Target="http://www.consultant.ru/document/cons_doc_LAW_304190/b004fed0b70d0f223e4a81f8ad6cd92af90a7e3b/" TargetMode="External"/><Relationship Id="rId48" Type="http://schemas.openxmlformats.org/officeDocument/2006/relationships/hyperlink" Target="http://www.consultant.ru/document/cons_doc_LAW_300845/" TargetMode="External"/><Relationship Id="rId8" Type="http://schemas.openxmlformats.org/officeDocument/2006/relationships/hyperlink" Target="https://dokipedia.ru/document/515666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10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neverov_g</dc:creator>
  <cp:lastModifiedBy>neverov_g</cp:lastModifiedBy>
  <cp:revision>11</cp:revision>
  <dcterms:created xsi:type="dcterms:W3CDTF">2019-08-01T15:46:00Z</dcterms:created>
  <dcterms:modified xsi:type="dcterms:W3CDTF">2019-08-02T08:40:00Z</dcterms:modified>
</cp:coreProperties>
</file>