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Вопросы к вебинару 22 мая 2019 г. (среда)</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 </w:t>
      </w:r>
      <w:r w:rsidDel="00000000" w:rsidR="00000000" w:rsidRPr="00000000">
        <w:rPr>
          <w:rFonts w:ascii="Times New Roman" w:cs="Times New Roman" w:eastAsia="Times New Roman" w:hAnsi="Times New Roman"/>
          <w:b w:val="1"/>
          <w:sz w:val="36"/>
          <w:szCs w:val="36"/>
          <w:highlight w:val="white"/>
          <w:rtl w:val="0"/>
        </w:rPr>
        <w:t xml:space="preserve">Влад С. </w:t>
      </w: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36"/>
          <w:szCs w:val="36"/>
          <w:highlight w:val="white"/>
          <w:u w:val="single"/>
        </w:rPr>
      </w:pPr>
      <w:r w:rsidDel="00000000" w:rsidR="00000000" w:rsidRPr="00000000">
        <w:rPr>
          <w:rFonts w:ascii="Times New Roman" w:cs="Times New Roman" w:eastAsia="Times New Roman" w:hAnsi="Times New Roman"/>
          <w:b w:val="1"/>
          <w:sz w:val="36"/>
          <w:szCs w:val="36"/>
          <w:highlight w:val="white"/>
          <w:u w:val="single"/>
          <w:rtl w:val="0"/>
        </w:rPr>
        <w:t xml:space="preserve">1.1 Обязательный аудит деятельности НКО</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АНО подлежит обязательному аудиту в части ежегодной бухуотчетности и использования средств фонда финансирования на уставные цели НКО, на основании результатов конкурсного отбора аудиторских организаций, утверждаемого высшим коллегиальным органом управления - Советом.</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Конкурс по выбору аудиторской компании должен/может быть закрытым или открытым (например на основании внутреннего Положения) и можно ли ограничить круг участников отбора, например, только среди специализирующимися на аудите НКО аудиторских фирм, сознательно исключив из него представителей общего аудита (из-за стоимости услуг и их целевой специализации, в основном ориентированным на бизнес), с соответствующим обоснованием Совету?</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36"/>
          <w:szCs w:val="36"/>
          <w:highlight w:val="white"/>
          <w:u w:val="single"/>
        </w:rPr>
      </w:pPr>
      <w:r w:rsidDel="00000000" w:rsidR="00000000" w:rsidRPr="00000000">
        <w:rPr>
          <w:rFonts w:ascii="Times New Roman" w:cs="Times New Roman" w:eastAsia="Times New Roman" w:hAnsi="Times New Roman"/>
          <w:b w:val="1"/>
          <w:sz w:val="36"/>
          <w:szCs w:val="36"/>
          <w:highlight w:val="white"/>
          <w:u w:val="single"/>
          <w:rtl w:val="0"/>
        </w:rPr>
        <w:t xml:space="preserve">1.2 Постановка на учет в территориальных органахгосударственной статистики (ТОГС) и отчетность региональных филиалов НКО</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Региональные филиалы АНО не выделены на отдельный баланс и не имеют расчетного счета. Учет деятельности филиалов ведется централизованной бухгалтерской службой. Регистрация с постановкой на учет в ИФНС осуществляется через Минюст в автоматическом режиме.</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 Росстатом (ТОГС) в части филиалов межведомственный обмен с ФНС через расширенную версию ЕГРЮЛ (с КПП филиалов) до сих пор не осуществляется (несмотря на требование законодательства). Среднесписочная численность работников за 2018 год - менее 15 чел.</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Достаточно ли НКО для выполнения обязанности по регистрации филиалов в органах госстатистики отправить в региональный ТОГС сведения о нем (положение, уведомление из ИФНС о присвоенном КПП), а головной организации по месту учета запросить 14-ти значный код, содержащий в себе ранее присвоенный ей код ОКПО?</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Правильно ли мы понимаем, что отчетность по филиалам (н-р, П-4, П-4(НЗ) П-2 и др.) до завершения регистрации со стороны ТОГС сдать будет невозможно по ТКС, а во избежание привлечения административной ответственности ее целесообразно сформировать и отправить на бумажном носителе?</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1.3. Учет целевых поступлений, подлежащих налогообложению</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АНО не ведет предпринимательской деятельности (на основании устава). Уставная (некоммерческая) деятельность финансируется за счет безналичных взносов плательщиков, не являющихся членами НКО, а также доходов от размещения временно свободных денежных средств (в силу прямого указания в Законе). Перечисляемые в фонд НКО взносы финансовых организаций на основании ежеквартальных уведомлений на их уплату и иные платежи третьих лиц, не поименованы в перечне, приведенном в ст. 251 Налогового кодекса РФ.</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Налоговый учет (ОСН) ведётся по кассовому методу, выбран - в связи с отсутствием выручки и во избежание излишних перерасчетов налоговой базы, поскольку ответственность за неуплату взносов не установлена.</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36"/>
          <w:szCs w:val="36"/>
          <w:highlight w:val="white"/>
          <w:u w:val="single"/>
        </w:rPr>
      </w:pPr>
      <w:r w:rsidDel="00000000" w:rsidR="00000000" w:rsidRPr="00000000">
        <w:rPr>
          <w:rFonts w:ascii="Times New Roman" w:cs="Times New Roman" w:eastAsia="Times New Roman" w:hAnsi="Times New Roman"/>
          <w:b w:val="1"/>
          <w:sz w:val="36"/>
          <w:szCs w:val="36"/>
          <w:highlight w:val="white"/>
          <w:u w:val="single"/>
          <w:rtl w:val="0"/>
        </w:rPr>
        <w:t xml:space="preserve">Вопросы учета:</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w:t>
      </w:r>
      <w:r w:rsidDel="00000000" w:rsidR="00000000" w:rsidRPr="00000000">
        <w:rPr>
          <w:rFonts w:ascii="Times New Roman" w:cs="Times New Roman" w:eastAsia="Times New Roman" w:hAnsi="Times New Roman"/>
          <w:b w:val="1"/>
          <w:sz w:val="36"/>
          <w:szCs w:val="36"/>
          <w:highlight w:val="white"/>
          <w:rtl w:val="0"/>
        </w:rPr>
        <w:t xml:space="preserve">3.1.</w:t>
      </w:r>
      <w:r w:rsidDel="00000000" w:rsidR="00000000" w:rsidRPr="00000000">
        <w:rPr>
          <w:rFonts w:ascii="Times New Roman" w:cs="Times New Roman" w:eastAsia="Times New Roman" w:hAnsi="Times New Roman"/>
          <w:sz w:val="36"/>
          <w:szCs w:val="36"/>
          <w:highlight w:val="white"/>
          <w:rtl w:val="0"/>
        </w:rPr>
        <w:t xml:space="preserve"> Утвержденной Сметой расходов АНО не детализирован конкретный состав расходов на приобретение имущества и ОС для ведения уставной деятельности и содержание НКО. Возможна ли без налоговых и иных рисков покупка за счет целевых поступлений оборудования для комнаты для отдыха и приема пищи сотрудников (бытовых холодильников, СВЧ-печей, электрочайников, кулеров, столовых предметов, телевизоров, питьевой воды и т.п.) в целях обеспечения нормальных условий труда и отдыха работников НКО, а также для оборудования приемных руководителей и представительских расходов?</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Какие расходы с большой вероятностью могут быть признаны как нецелевое использование (во избежание налоговых рисков)?</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1.3.2.</w:t>
      </w:r>
      <w:r w:rsidDel="00000000" w:rsidR="00000000" w:rsidRPr="00000000">
        <w:rPr>
          <w:rFonts w:ascii="Times New Roman" w:cs="Times New Roman" w:eastAsia="Times New Roman" w:hAnsi="Times New Roman"/>
          <w:sz w:val="36"/>
          <w:szCs w:val="36"/>
          <w:highlight w:val="white"/>
          <w:rtl w:val="0"/>
        </w:rPr>
        <w:t xml:space="preserve">  Возможно ли уменьшить доходную часть налоговой базы по налогу на прибыль, сформированной за счет облагаемых (т.е. отсутствуют в перечне согласно п.2 ст. 251) средств целевых поступлений (финансирования), зачисленных в фонд НКО, на расходы в рамках уставной деятельности или содержания НКО?</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Т.е. если такие доходы не льготируются в целях расчета налога на прибыль по деятельности НКО  (кроме % по депозитам), то разве их нельзя сразу уменьшить на уставные расходы по некоммерческой деятельности (используя общие принципы расходов, указанные в ст. 252 НК РФ) и облагать только фин.результат на общих основаниях </w:t>
      </w:r>
      <w:r w:rsidDel="00000000" w:rsidR="00000000" w:rsidRPr="00000000">
        <w:rPr>
          <w:rFonts w:ascii="Times New Roman" w:cs="Times New Roman" w:eastAsia="Times New Roman" w:hAnsi="Times New Roman"/>
          <w:b w:val="1"/>
          <w:sz w:val="36"/>
          <w:szCs w:val="36"/>
          <w:highlight w:val="white"/>
          <w:u w:val="single"/>
          <w:rtl w:val="0"/>
        </w:rPr>
        <w:t xml:space="preserve">либо </w:t>
      </w:r>
      <w:r w:rsidDel="00000000" w:rsidR="00000000" w:rsidRPr="00000000">
        <w:rPr>
          <w:rFonts w:ascii="Times New Roman" w:cs="Times New Roman" w:eastAsia="Times New Roman" w:hAnsi="Times New Roman"/>
          <w:sz w:val="36"/>
          <w:szCs w:val="36"/>
          <w:highlight w:val="white"/>
          <w:rtl w:val="0"/>
        </w:rPr>
        <w:t xml:space="preserve">в рамках правовой природы НКО все облагаемые доходы (кроме %) АНО, ведущих только уставную деятельность, могут быть уменьшены на расходы только после их налогообложения?</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противном случае получается, что уставные расходы, осуществляемые за счет полностью облагаемых доходов, не подлежат налоговому контролю, даже в случае применения последствий нецелевого использования (включение в налоговую базу </w:t>
      </w:r>
      <w:r w:rsidDel="00000000" w:rsidR="00000000" w:rsidRPr="00000000">
        <w:rPr>
          <w:rFonts w:ascii="Times New Roman" w:cs="Times New Roman" w:eastAsia="Times New Roman" w:hAnsi="Times New Roman"/>
          <w:color w:val="48494a"/>
          <w:sz w:val="36"/>
          <w:szCs w:val="36"/>
          <w:highlight w:val="white"/>
          <w:rtl w:val="0"/>
        </w:rPr>
        <w:t xml:space="preserve">В соответствии с п. 14 ст. 250 НК РФ</w:t>
      </w:r>
      <w:r w:rsidDel="00000000" w:rsidR="00000000" w:rsidRPr="00000000">
        <w:rPr>
          <w:rFonts w:ascii="Times New Roman" w:cs="Times New Roman" w:eastAsia="Times New Roman" w:hAnsi="Times New Roman"/>
          <w:sz w:val="36"/>
          <w:szCs w:val="36"/>
          <w:highlight w:val="white"/>
          <w:rtl w:val="0"/>
        </w:rPr>
        <w:t xml:space="preserve">), поскольку налог с указанных поступлений уже полностью уплачен и отражен в учете ранее.</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Другая позиция основана на жестком цитировании НК - включение некоммерческими организациями в состав расходов, связанных с производством и реализацией, и в состав внереализационных расходов, расходов по содержанию и ведению ими уставной деятельности (оплата труда административно - управленческого персонала, плата за аренду помещений, оплата услуг банка и др.) не предусматривается, поскольку они не направлены на получение дохода (ст.252 НК))</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1.3.3.</w:t>
      </w:r>
      <w:r w:rsidDel="00000000" w:rsidR="00000000" w:rsidRPr="00000000">
        <w:rPr>
          <w:rFonts w:ascii="Times New Roman" w:cs="Times New Roman" w:eastAsia="Times New Roman" w:hAnsi="Times New Roman"/>
          <w:sz w:val="36"/>
          <w:szCs w:val="36"/>
          <w:highlight w:val="white"/>
          <w:rtl w:val="0"/>
        </w:rPr>
        <w:t xml:space="preserve"> Если АНО не вправе осуществлять предпринимательскую деятельность, то в какой момент в балансе НКО могут быть учтены на балансовом счете 86 "Целевое финансирование" доходы фонда финансирования  АНО в виде перечисляемых в соответствии с Законом  взносов финансовых организаций и платежей  третьих лиц, а также % от размещения временно свободных денежных средств в депозит банку:</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по кассовому методу - датой их непосредственного зачисления в фонд (до налогообложения, минуя счета 91 "Прочие доходы и расходы" и 99 "Прибыли и убытки" с начислением и уплатой налога на прибыль в корреспонденции со счетом 86)</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(Существует мнение, что в балансе НКО, ведущих только уставную - некоммерческую деятельность использование 90-х и 84 счетов не является корректным, как и применение ПБУ 18/02 в учете)</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либо после налогообложения в корреспонденции с дебетом счета 84 "Нераспределенная прибыль (непокрытый убыток)" - реформация баланса на периодической основе (раз в месяц - для обеспечения баланса по осуществлению и финансированию уставных расходов и их источника)?</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1.3.4. </w:t>
      </w:r>
      <w:r w:rsidDel="00000000" w:rsidR="00000000" w:rsidRPr="00000000">
        <w:rPr>
          <w:rFonts w:ascii="Times New Roman" w:cs="Times New Roman" w:eastAsia="Times New Roman" w:hAnsi="Times New Roman"/>
          <w:sz w:val="36"/>
          <w:szCs w:val="36"/>
          <w:highlight w:val="white"/>
          <w:rtl w:val="0"/>
        </w:rPr>
        <w:t xml:space="preserve">НКО по договорам с контрагентами оплачивает услуги, в условиях которых предусмотрены штрафные санкции за несвоевременное или некачественное  оказание услуг, сумма которых удерживается в счет их оплаты путем зачета денежных обязательств по инициативе НКО. В итоге Сумма штрафных санкций в счет предстоящего платежа, признаваемая внереализационным доходом и облагаемая налогом на прибыль, подлежит восстановлению на счете 91.01.</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Допустимы ли следующие проводки (например, стоимость услуг 100 ед., штрафные санкции 20 ед):</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Дт 60 - Кт 51 = 80 платежное поручение (счет на оплату, письмо о зачете)</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Дт 26 - Кт 60 = 100 акт оказ. услуг (Дт 86 - Кт 26 = 100)</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Дт 60 - Кт 91 = 20 письмо о зачете</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1.3.5.</w:t>
      </w:r>
      <w:r w:rsidDel="00000000" w:rsidR="00000000" w:rsidRPr="00000000">
        <w:rPr>
          <w:rFonts w:ascii="Times New Roman" w:cs="Times New Roman" w:eastAsia="Times New Roman" w:hAnsi="Times New Roman"/>
          <w:sz w:val="36"/>
          <w:szCs w:val="36"/>
          <w:highlight w:val="white"/>
          <w:rtl w:val="0"/>
        </w:rPr>
        <w:t xml:space="preserve"> В АНО все поступления (облагаемые и необлагаемые) на ведение уставной деятельности поступают в фонд финансирования НКО в безналичном порядке. В 1С-Рарус:Бухгалтерия НКО организовано ведение учета по общей группе "Средства фонда финансирования" в разрезе источников (взнос, плата, %, штрафы и др.) на 86 и 51 счетах через субконто без использования доп.субсчетов (не рекомендовано разработчиками во избежание  сбоев при выполнении регламентных операций).</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Допустимо ли при совершении расходных операций по уставной (некоммерческой) деятельности (для целей раздельного учета в рамках налогового контроля по п.2 ст.251 НК) указывать в качестве источника финансирования расходов значение общей группы "Средства фонда финансирования" одноименного справочника </w:t>
      </w:r>
      <w:r w:rsidDel="00000000" w:rsidR="00000000" w:rsidRPr="00000000">
        <w:rPr>
          <w:rFonts w:ascii="Times New Roman" w:cs="Times New Roman" w:eastAsia="Times New Roman" w:hAnsi="Times New Roman"/>
          <w:b w:val="1"/>
          <w:sz w:val="36"/>
          <w:szCs w:val="36"/>
          <w:highlight w:val="white"/>
          <w:u w:val="single"/>
          <w:rtl w:val="0"/>
        </w:rPr>
        <w:t xml:space="preserve">без дополнительной детализации</w:t>
      </w:r>
      <w:r w:rsidDel="00000000" w:rsidR="00000000" w:rsidRPr="00000000">
        <w:rPr>
          <w:rFonts w:ascii="Times New Roman" w:cs="Times New Roman" w:eastAsia="Times New Roman" w:hAnsi="Times New Roman"/>
          <w:sz w:val="36"/>
          <w:szCs w:val="36"/>
          <w:highlight w:val="white"/>
          <w:rtl w:val="0"/>
        </w:rPr>
        <w:t xml:space="preserve">, если предпринимательской деятельности АНО не осуществляет?</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sz w:val="36"/>
          <w:szCs w:val="36"/>
          <w:highlight w:val="white"/>
          <w:u w:val="single"/>
        </w:rPr>
      </w:pPr>
      <w:r w:rsidDel="00000000" w:rsidR="00000000" w:rsidRPr="00000000">
        <w:rPr>
          <w:rFonts w:ascii="Times New Roman" w:cs="Times New Roman" w:eastAsia="Times New Roman" w:hAnsi="Times New Roman"/>
          <w:b w:val="1"/>
          <w:sz w:val="36"/>
          <w:szCs w:val="36"/>
          <w:highlight w:val="white"/>
          <w:u w:val="single"/>
          <w:rtl w:val="0"/>
        </w:rPr>
        <w:t xml:space="preserve">1.4. Доверенность представителя для сдачи отчетности в ИФНС в эл.виде</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Требуется ли заблаговременное представление на бумажном носителе в ИФНС по месту учета филиала НКО доверенности на представителя до представления декларации или иной отчетности по ТКС либо ее все же возможно отсканировать, прикрепить к сообщению, подписать УКЭП и отправить вместе с отчетностью налоговую службу в рамках организованного ЭДО 1с: Отчетность?</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 нашему мнению, обязанность налогоплательщика, предусмотренная пунктом 5 статьи 80 Налогового кодекса РФ с учетом письма ФНС России от 06.09.2016 №ОА-4-17/16629@, по представлению декларации с прикрепленным сканом доверенности представителя, признается исполненной.</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представителем НКО в налоговых органах является работник бухгалтерской службы, неужели его необходимо лично отправлять в командировки во все субъекты  РФ с доверенностью в региональные ИФНС по месту учета филиалов?</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Каким образом можно ли воздействовать на отдельные рег. ИФНС, отказывающие в приёме отчётности и доверенности по ТКС, без представления её на бумажном носителе?</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color w:val="00ff00"/>
          <w:sz w:val="36"/>
          <w:szCs w:val="36"/>
        </w:rPr>
      </w:pPr>
      <w:r w:rsidDel="00000000" w:rsidR="00000000" w:rsidRPr="00000000">
        <w:rPr>
          <w:rFonts w:ascii="Times New Roman" w:cs="Times New Roman" w:eastAsia="Times New Roman" w:hAnsi="Times New Roman"/>
          <w:b w:val="1"/>
          <w:sz w:val="36"/>
          <w:szCs w:val="36"/>
          <w:highlight w:val="white"/>
          <w:rtl w:val="0"/>
        </w:rPr>
        <w:t xml:space="preserve">2. Светлана Андреевна Б. </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Льготы по отчислениям с заработной платы в ПФР и ФСС для НКО. Как эти льготы получить? Надо как то ставить налоговую и ФСС в известность, или просто не платить. Надо ли как-то доказывать, что мы имеем право на эти льготы.</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Из региональной общественной организации перерегистрировались в межрегиональную, в уставе написали Ленинградская область и указали в Минюсте адрес дачного участка учредителя, в выписке из ЕГРЮЛ он нигде не написан. Надо ли что-то отправлять в налоговую и ПФР по ЛО? Обособленного подразделения не предполагается, но участвовать в конкурсах, грантах и проектах по ЛО планируем.</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3. Ирина Б. </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НКО (основная деятельность - музей, доп. - торговля сопут. товарами) по договору дарения передали имущество (товары) для дальнейшей перепродажи в рамках дополнительной коммерческой деятельности. Бухгалтер "повесил" их на 10 счет в корреспонденции с 91.01 счетом. Заплатил налог. Вопрос: каким образом закрывать 91.01 счет, если эти товары могут долго висеть на балансе? Как списать их стоимость с 91 счета? Можно ли использовать счет 98.02?</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4</w:t>
      </w:r>
      <w:r w:rsidDel="00000000" w:rsidR="00000000" w:rsidRPr="00000000">
        <w:rPr>
          <w:rFonts w:ascii="Times New Roman" w:cs="Times New Roman" w:eastAsia="Times New Roman" w:hAnsi="Times New Roman"/>
          <w:b w:val="1"/>
          <w:sz w:val="36"/>
          <w:szCs w:val="36"/>
          <w:highlight w:val="white"/>
          <w:rtl w:val="0"/>
        </w:rPr>
        <w:t xml:space="preserve">. </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sz w:val="36"/>
          <w:szCs w:val="36"/>
          <w:highlight w:val="white"/>
          <w:rtl w:val="0"/>
        </w:rPr>
        <w:t xml:space="preserve">Адиля Х.</w:t>
      </w:r>
    </w:p>
    <w:p w:rsidR="00000000" w:rsidDel="00000000" w:rsidP="00000000" w:rsidRDefault="00000000" w:rsidRPr="00000000" w14:paraId="0000003C">
      <w:pPr>
        <w:spacing w:after="0" w:line="240" w:lineRule="auto"/>
        <w:jc w:val="both"/>
        <w:rPr>
          <w:rFonts w:ascii="Times New Roman" w:cs="Times New Roman" w:eastAsia="Times New Roman" w:hAnsi="Times New Roman"/>
          <w:b w:val="1"/>
          <w:color w:val="00ff00"/>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Фонд: 1. Администрация города заказала сделать сквер на месте сгоревшего ТЦ в котором погибли люди. Денег на строительство сквера  город не выделял.</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Фонд будет строить сквер на деньги пожертвований нескольких юр.лиц и физических лиц. Какие необходимы документы, чтобы начать строительство. Как в бухгалтерском учете отразить, какими проводками? Как передать готовый сквер городу? </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Фонд покупает заброшенные здания клуба, школы у города, ремонтирует и передает городу в хорошем состояние, пригодный для использования здания. Денежные средства для покупки и ремонта от благотворителей (жертвователей). Какими документами оформить, нужно ли фонду ставить на кадастровый учет эти здания? Каким бухгалтерскими проводками принять на учет, ?  Нужно Сдавать НД на имущество и платить налог на имущество? На какие средство платить  налог?</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Мечеть находится в селе. Расходы религиозной организации  полностью на средство пожертвования жителей.  Собранные средства тратятся на текущие расходы мечети, на расходы содержания села, например: (чистка кладбища, ремонт моста, небольшие ремонты дорог в селе, пожертвования погорельцам, на похороны, уборка территории от мусора и многие другие.)  Жители и уроженцы села видят результат сделанной работы и с удовольствие переводят средства на расходы.  Основная часть денежных средств переводят на личную карту Имама мечети, но иногда кладут в ящик, который находится в мечети,. Многим так удобно, большинство людей не живут в селе, но выходцы из села. Если не предоставить номер личной карты Имама,то вообще переводить не будут. Как можно эти собранные средство на личную карту Имама оприходовать в учет в религиозную организацию?</w:t>
      </w:r>
    </w:p>
    <w:p w:rsidR="00000000" w:rsidDel="00000000" w:rsidP="00000000" w:rsidRDefault="00000000" w:rsidRPr="00000000" w14:paraId="00000041">
      <w:pPr>
        <w:spacing w:after="0" w:line="240" w:lineRule="auto"/>
        <w:ind w:left="0" w:firstLine="0"/>
        <w:jc w:val="both"/>
        <w:rPr>
          <w:rFonts w:ascii="Times New Roman" w:cs="Times New Roman" w:eastAsia="Times New Roman" w:hAnsi="Times New Roman"/>
          <w:b w:val="1"/>
          <w:sz w:val="36"/>
          <w:szCs w:val="36"/>
          <w:highlight w:val="white"/>
        </w:rPr>
      </w:pPr>
      <w:r w:rsidDel="00000000" w:rsidR="00000000" w:rsidRPr="00000000">
        <w:rPr>
          <w:rtl w:val="0"/>
        </w:rPr>
      </w:r>
    </w:p>
    <w:p w:rsidR="00000000" w:rsidDel="00000000" w:rsidP="00000000" w:rsidRDefault="00000000" w:rsidRPr="00000000" w14:paraId="00000042">
      <w:pPr>
        <w:spacing w:after="0" w:line="240" w:lineRule="auto"/>
        <w:ind w:left="0" w:firstLine="0"/>
        <w:jc w:val="both"/>
        <w:rPr>
          <w:rFonts w:ascii="Times New Roman" w:cs="Times New Roman" w:eastAsia="Times New Roman" w:hAnsi="Times New Roman"/>
          <w:b w:val="1"/>
          <w:sz w:val="36"/>
          <w:szCs w:val="36"/>
          <w:highlight w:val="white"/>
        </w:rPr>
      </w:pPr>
      <w:r w:rsidDel="00000000" w:rsidR="00000000" w:rsidRPr="00000000">
        <w:rPr>
          <w:rtl w:val="0"/>
        </w:rPr>
      </w:r>
    </w:p>
    <w:p w:rsidR="00000000" w:rsidDel="00000000" w:rsidP="00000000" w:rsidRDefault="00000000" w:rsidRPr="00000000" w14:paraId="00000043">
      <w:pPr>
        <w:spacing w:after="0" w:line="240" w:lineRule="auto"/>
        <w:ind w:left="0" w:firstLine="0"/>
        <w:jc w:val="both"/>
        <w:rPr>
          <w:rFonts w:ascii="Times New Roman" w:cs="Times New Roman" w:eastAsia="Times New Roman" w:hAnsi="Times New Roman"/>
          <w:b w:val="1"/>
          <w:sz w:val="36"/>
          <w:szCs w:val="36"/>
          <w:highlight w:val="white"/>
        </w:rPr>
      </w:pPr>
      <w:r w:rsidDel="00000000" w:rsidR="00000000" w:rsidRPr="00000000">
        <w:rPr>
          <w:rtl w:val="0"/>
        </w:rPr>
      </w:r>
    </w:p>
    <w:p w:rsidR="00000000" w:rsidDel="00000000" w:rsidP="00000000" w:rsidRDefault="00000000" w:rsidRPr="00000000" w14:paraId="00000044">
      <w:pPr>
        <w:spacing w:after="0" w:line="240" w:lineRule="auto"/>
        <w:ind w:left="0" w:firstLine="0"/>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5. Светлана</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46">
      <w:pPr>
        <w:shd w:fill="ffffff" w:val="clea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1.Должна некоммерческая организация благотворительный фонд, которая вообще не ведет коммерческой деятельности (поступают только благотворительные пожертвования от физ. и юрлиц РФ) вести Книги покупок и продаж? НКО на УСН (доходы минус расходы).</w:t>
      </w:r>
    </w:p>
    <w:p w:rsidR="00000000" w:rsidDel="00000000" w:rsidP="00000000" w:rsidRDefault="00000000" w:rsidRPr="00000000" w14:paraId="00000047">
      <w:pPr>
        <w:shd w:fill="ffffff" w:val="clea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Если должна, то Книга покупок и продаж должна быть пустая, нужно ли её распечатывать пустую или что в ней должно быть?</w:t>
      </w:r>
    </w:p>
    <w:p w:rsidR="00000000" w:rsidDel="00000000" w:rsidP="00000000" w:rsidRDefault="00000000" w:rsidRPr="00000000" w14:paraId="00000048">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6. Ольга Вячеславовна В.</w:t>
      </w: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Организация – НКО, Ассоциация, УСН 15%, коттеджный поселок. Вопрос о применении ККТ.</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Посоветуйте, как быть с требованием указывать такой реквизит, как наименование товара, работы, услуги, платежа или выплаты, как предусмотрено законом.</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От физических лиц (членов Ассоциации) поступает оплата за воду для полива из водозаборного узла Ассоциации. В он-лайн кассу внесли название «вода артезианская». В официальных справочниках номенклатуры товаров ничего подходящего не нашла.</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Установлены ли законодательно какие-либо требования к названию товара, которое будет отражаться в кассовом чеке?   Требуется ли обязательное указание кодов для услуг? Например – подключение к инфраструктуре поселка, уборка территории… В номенклатурных справочниках такого нет. И невозможно указать количество, поскольку оплата чаще всего случайным образом бывает и за прошлое и предоплата, причем в одном платеже.</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Сейчас накопилось большое количество разъясняющих и дополняющих писем, но ясности до конца нет. Сотрудники организации, которые программировала ККТ, говорят, что коды товара обязательны только по указанным спискам, а остальные можно вообще не указывать, только сумма и нал/безнал.</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Сейчас указываем своё примерное краткое наименование товара / услуги и сумму платежа (безнал). </w:t>
      </w:r>
    </w:p>
    <w:p w:rsidR="00000000" w:rsidDel="00000000" w:rsidP="00000000" w:rsidRDefault="00000000" w:rsidRPr="00000000" w14:paraId="00000051">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tl w:val="0"/>
        </w:rPr>
      </w:r>
    </w:p>
    <w:p w:rsidR="00000000" w:rsidDel="00000000" w:rsidP="00000000" w:rsidRDefault="00000000" w:rsidRPr="00000000" w14:paraId="00000052">
      <w:pPr>
        <w:spacing w:after="0" w:line="240" w:lineRule="auto"/>
        <w:ind w:left="0" w:firstLine="0"/>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7. Юлия А.  (+4 файла WORD)</w:t>
      </w:r>
    </w:p>
    <w:p w:rsidR="00000000" w:rsidDel="00000000" w:rsidP="00000000" w:rsidRDefault="00000000" w:rsidRPr="00000000" w14:paraId="00000053">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r w:rsidDel="00000000" w:rsidR="00000000" w:rsidRPr="00000000">
        <w:rPr>
          <w:rtl w:val="0"/>
        </w:rPr>
      </w:r>
    </w:p>
    <w:p w:rsidR="00000000" w:rsidDel="00000000" w:rsidP="00000000" w:rsidRDefault="00000000" w:rsidRPr="00000000" w14:paraId="00000054">
      <w:pPr>
        <w:spacing w:after="22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7.1. Фонд собирается получать пожертвования через кнопку, установленную у себя на сайте. Сбербанк предложил для этого использовать услугу эквайринга, но отказывается изменять какие-либо формулировки в их документах.</w:t>
      </w:r>
    </w:p>
    <w:p w:rsidR="00000000" w:rsidDel="00000000" w:rsidP="00000000" w:rsidRDefault="00000000" w:rsidRPr="00000000" w14:paraId="00000055">
      <w:pPr>
        <w:shd w:fill="ffffff" w:val="clea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предложенном  Сбербанком договоре используется единая для коммерческих и некоммерческих организаций терминология. В результате наш сайт с кнопкой позволяющей сделать пожертвование будет назван «торговой точкой» с отдельным видом деятельности в платежных системах - благотворительность. Будут ли средства, собранные через эквайринг Сбербанка признаны налоговой как пожертвования, если перед нажатием на кнопку физ.лицо подтвердит, что отправляет пожертвование и выберет. На что его направить?</w:t>
      </w:r>
    </w:p>
    <w:p w:rsidR="00000000" w:rsidDel="00000000" w:rsidP="00000000" w:rsidRDefault="00000000" w:rsidRPr="00000000" w14:paraId="00000056">
      <w:pPr>
        <w:shd w:fill="ffffff" w:val="clea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58">
      <w:pPr>
        <w:shd w:fill="ffffff" w:val="clea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7.2. Фонд в рамках своей благотворительной деятельности использует в своей работе добровольцев и производит в рамках гражданско-правовых договоров на безвозмездное выполнение добровольцем (волонтером) работ и (или) оказание им услуг в соответствии с положениями Федерального закона от 11.08.1995 № 135-ФЗ компенсации их затрат на проезд до места безвозмездного оказания услуг, проживания и питания (не более 700 руб. в сутки). Правильно ли мы понимаем, что эти компенсации не облагаются НДФЛ?   Правильно ли мы понимаем, что, согласно п.3.1. ст. 217 НК РФ  не будут облагаться НДФЛ доходы добровольцев, есть фонд сам будет покупать им билеты, снимать гостиницу или иное жилье, при условии, что с добровольцем (волонтером) будет заключён договор на  безвозмездное выполнение добровольцем (волонтёром) работ и (или) оказание им услуг в благотворительных целях, в котором указано, что Фонд обеспечивает добровольцев билетами, гостиницей, питанием?</w:t>
      </w:r>
    </w:p>
    <w:p w:rsidR="00000000" w:rsidDel="00000000" w:rsidP="00000000" w:rsidRDefault="00000000" w:rsidRPr="00000000" w14:paraId="00000059">
      <w:pPr>
        <w:shd w:fill="ffffff" w:val="clea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8. </w:t>
      </w:r>
      <w:r w:rsidDel="00000000" w:rsidR="00000000" w:rsidRPr="00000000">
        <w:rPr>
          <w:rFonts w:ascii="Times New Roman" w:cs="Times New Roman" w:eastAsia="Times New Roman" w:hAnsi="Times New Roman"/>
          <w:b w:val="1"/>
          <w:sz w:val="36"/>
          <w:szCs w:val="36"/>
          <w:rtl w:val="0"/>
        </w:rPr>
        <w:t xml:space="preserve">Оксана С.</w:t>
      </w: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Добровольцам возмещаются расходы на проезд к месту осуществления благотворительной, добровольческой (волонтерской) деятельности и обратно. Можно ли возмещать в рамках этого пункта не только билеты на ЖД, но и расходы на бензин  на личном транспорте?</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9. Маргарита Николаевна К.</w:t>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9.1. Фонд планирует в 2019 заключить Договор ГПХ с гражданином России, не являющимся налоговым резидентом (проживает постоянно в Канаде).</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Какие налоги в связи с этим Договором организация должна предусмотреть?</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9.2. Руководитель Фонда (доброволец) - налоговый резидент.</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Работая в марте-апреле 2019 за рубежом, получил вознаграждение от зарубежного театра на свой счёт в иностранном банке. Какие документы он должен подать в ИФНС в течение года и по итогам года?</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sectPr>
      <w:headerReference r:id="rId6" w:type="default"/>
      <w:pgSz w:h="16838" w:w="11906"/>
      <w:pgMar w:bottom="1134" w:top="1134" w:left="1695"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pPr>
    <w:rPr>
      <w:b w:val="1"/>
      <w:smallCaps w:val="0"/>
      <w:sz w:val="28"/>
      <w:szCs w:val="28"/>
    </w:rPr>
  </w:style>
  <w:style w:type="paragraph" w:styleId="Heading5">
    <w:name w:val="heading 5"/>
    <w:basedOn w:val="Normal"/>
    <w:next w:val="Normal"/>
    <w:pPr>
      <w:spacing w:after="60" w:before="240" w:lineRule="auto"/>
    </w:pPr>
    <w:rPr>
      <w:b w:val="1"/>
      <w:i w:val="1"/>
      <w:smallCaps w:val="0"/>
      <w:sz w:val="26"/>
      <w:szCs w:val="26"/>
    </w:rPr>
  </w:style>
  <w:style w:type="paragraph" w:styleId="Heading6">
    <w:name w:val="heading 6"/>
    <w:basedOn w:val="Normal"/>
    <w:next w:val="Normal"/>
    <w:pPr>
      <w:spacing w:after="60" w:before="240" w:lineRule="auto"/>
    </w:pPr>
    <w:rPr>
      <w:b w:val="1"/>
      <w:smallCaps w:val="0"/>
    </w:rPr>
  </w:style>
  <w:style w:type="paragraph" w:styleId="Title">
    <w:name w:val="Title"/>
    <w:basedOn w:val="Normal"/>
    <w:next w:val="Normal"/>
    <w:pP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