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Вопросы к вебинару 29 января 2019 г. (вторник)</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 Татьяна Владимировна О.</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Подскажите, пожалуйста, проводки по следующей ситуации:</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в 2018 г. получила беспроцентный займ от учредителя в размере 38000,00 руб.</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Проводка Д-т 51 К-т 66. Как увязать  займ с 86 счётом, и вообще нужно ли??? но тогда как закрывать те же самые расходы, которые начисляются  в течение месяца на 26, а потом списываются на 86?</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2. </w:t>
      </w:r>
      <w:r w:rsidDel="00000000" w:rsidR="00000000" w:rsidRPr="00000000">
        <w:rPr>
          <w:rFonts w:ascii="Times New Roman" w:cs="Times New Roman" w:eastAsia="Times New Roman" w:hAnsi="Times New Roman"/>
          <w:b w:val="1"/>
          <w:sz w:val="36"/>
          <w:szCs w:val="36"/>
          <w:rtl w:val="0"/>
        </w:rPr>
        <w:t xml:space="preserve">Ирина Геннадьевна Б.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color w:val="ff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АНО (некоммерческая деятельность музеев, УСН 6%) приобрела ККТ (автономную, для выездной торговли) для доп. коммерческой деятельности (торговля сопутствующими товарами). ККТ пришлось зарегистрировать по другому адресу, в связи с этим получилось обособленное подразделение (далее - ОП) в виде стационарного рабочего места.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Поскольку открывать ставку продавца-кассира не хотим, вопрос такой: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КАКИМ ОБРАЗОМ и на КОГО грамотно возложить обязанности кассира обособленного подразделения (чтобы подпись кассира ОП не совпадала с подписью главбуха-кассира по организации в целом), если в организации исполнительный директор официально устроен по внешнему совместительству, а также главный бухгалтер - также по совместительству (дистанционный работник)? Возможно ли в таких случаях внутреннее совместительство? Остальные работники - добровольцы.</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вопрос (связан с первым): Как правильно установить лимит наличных денежных средств в кассе организации в целом и по обособленному подразделению, если организация работает давно, выручки 2 года не было и сейчас пока нет? Расходы по кассе - в основном выдача з/п, взносы пожертвований в банк. С банка наличные не снимаются. Ставить лимит, равный нулю? </w:t>
      </w:r>
    </w:p>
    <w:p w:rsidR="00000000" w:rsidDel="00000000" w:rsidP="00000000" w:rsidRDefault="00000000" w:rsidRPr="00000000" w14:paraId="0000000E">
      <w:pPr>
        <w:spacing w:after="0" w:line="240" w:lineRule="auto"/>
        <w:jc w:val="both"/>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 Людмила Александровна З.</w:t>
      </w:r>
    </w:p>
    <w:p w:rsidR="00000000" w:rsidDel="00000000" w:rsidP="00000000" w:rsidRDefault="00000000" w:rsidRPr="00000000" w14:paraId="00000010">
      <w:pPr>
        <w:spacing w:after="0" w:line="240" w:lineRule="auto"/>
        <w:jc w:val="both"/>
        <w:rPr>
          <w:rFonts w:ascii="Arial" w:cs="Arial" w:eastAsia="Arial" w:hAnsi="Arial"/>
          <w:sz w:val="23"/>
          <w:szCs w:val="23"/>
          <w:highlight w:val="white"/>
        </w:rPr>
      </w:pPr>
      <w:r w:rsidDel="00000000" w:rsidR="00000000" w:rsidRPr="00000000">
        <w:rPr>
          <w:rFonts w:ascii="Times New Roman" w:cs="Times New Roman" w:eastAsia="Times New Roman" w:hAnsi="Times New Roman"/>
          <w:color w:val="ff00ff"/>
          <w:sz w:val="36"/>
          <w:szCs w:val="36"/>
          <w:rtl w:val="0"/>
        </w:rPr>
        <w:t xml:space="preserve">Шаронова</w:t>
      </w: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НКО в декабре 2018 г. получила страховое возмещение из ФСС на выплату по временной нетрудоспособности сотруднику. Нужно ли отражать эту сумму в 6-НДФЛ в разделе 1 и 2.</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4. Анна С. </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НКО (благотворительный фонд) осуществляет деятельность, приносящую доход:</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продажа сувенирной продукции, организация благотворительных мероприятий. </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Вырученные средства за вычетом расходов на организацию мероприятий, себестоимости сувенирной продукции</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направляются на благотворительные программы фонда.</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Расходы на мероприятия совершаются до получения доходов от него. </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1. Из каких средств их можно финансировать?</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Фонд не может использовать средства с благотворительных программ, т.к. должен вести раздельный учёт.</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Какие есть варианты финансирования расходов кроме заёмных средств?</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2. Как организовать финансирование выпуска новой партии сувенирной продукции? </w:t>
      </w:r>
    </w:p>
    <w:p w:rsidR="00000000" w:rsidDel="00000000" w:rsidP="00000000" w:rsidRDefault="00000000" w:rsidRPr="00000000" w14:paraId="0000001E">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Фонд не можем использовать выручку от предыдущей партии на закупку новой, так как должен вырученные средства направлять на благотворительные программы.</w:t>
      </w:r>
    </w:p>
    <w:p w:rsidR="00000000" w:rsidDel="00000000" w:rsidP="00000000" w:rsidRDefault="00000000" w:rsidRPr="00000000" w14:paraId="0000001F">
      <w:pPr>
        <w:spacing w:after="0" w:line="240" w:lineRule="auto"/>
        <w:jc w:val="both"/>
        <w:rPr>
          <w:rFonts w:ascii="Times New Roman" w:cs="Times New Roman" w:eastAsia="Times New Roman" w:hAnsi="Times New Roman"/>
          <w:color w:val="222222"/>
          <w:sz w:val="36"/>
          <w:szCs w:val="36"/>
          <w:highlight w:val="white"/>
        </w:rPr>
      </w:pPr>
      <w:r w:rsidDel="00000000" w:rsidR="00000000" w:rsidRPr="00000000">
        <w:rPr>
          <w:rFonts w:ascii="Times New Roman" w:cs="Times New Roman" w:eastAsia="Times New Roman" w:hAnsi="Times New Roman"/>
          <w:color w:val="222222"/>
          <w:sz w:val="36"/>
          <w:szCs w:val="36"/>
          <w:highlight w:val="white"/>
          <w:rtl w:val="0"/>
        </w:rPr>
        <w:t xml:space="preserve">Какие есть варианты кроме заёмных средств? Постоянно использовать заёмные средства нет возможности.</w:t>
      </w:r>
    </w:p>
    <w:p w:rsidR="00000000" w:rsidDel="00000000" w:rsidP="00000000" w:rsidRDefault="00000000" w:rsidRPr="00000000" w14:paraId="00000020">
      <w:pPr>
        <w:spacing w:after="0" w:line="240" w:lineRule="auto"/>
        <w:jc w:val="both"/>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5. Марина К.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color w:val="ff00ff"/>
          <w:sz w:val="36"/>
          <w:szCs w:val="36"/>
          <w:rtl w:val="0"/>
        </w:rPr>
        <w:t xml:space="preserve">Шаронова</w:t>
      </w: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соответствии с п. 2 ст. 10 Федерального закона от 11.08.1995 N 135-ФЗ "О благотворительной деятельности и добровольчестве (волонтёрстве)", в качестве одной из компетенций высшего органа управления благотворительной организации законодателем указано "образование исполнительных органов благотворительной организации, её контрольно-ревизионных органов и досрочное прекращение их полномочий". </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п. 2 ст 123.17 Гражданского кодекса РФ указано, что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 Таким образом, из этого пункта также не следует, что в фондах обязательно должны создаваться контрольно-ревизионные органы. Территориальное управление Министерства юстиции при внесении изменений в устав благотворительного фонда попросил включить пункты о создании ревизионной комиссии. (Попечительский совет и Высший коллегиальный орган в фонде сформированы).</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Исходя из вышеуказанного у нас возник вопрос, а обязаны ли благотворительные организации, в частности, фонды создавать контрольно-ревизионные органы (ревизор/ревизионная комиссия) в обязательном порядке, ведь прямого указания на это нет. </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highlight w:val="white"/>
          <w:rtl w:val="0"/>
        </w:rPr>
        <w:t xml:space="preserve">6. Галина Васильевна </w:t>
      </w:r>
      <w:r w:rsidDel="00000000" w:rsidR="00000000" w:rsidRPr="00000000">
        <w:rPr>
          <w:rFonts w:ascii="Times New Roman" w:cs="Times New Roman" w:eastAsia="Times New Roman" w:hAnsi="Times New Roman"/>
          <w:b w:val="1"/>
          <w:sz w:val="36"/>
          <w:szCs w:val="36"/>
          <w:rtl w:val="0"/>
        </w:rPr>
        <w:t xml:space="preserve">К. </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highlight w:val="white"/>
          <w:rtl w:val="0"/>
        </w:rPr>
        <w:t xml:space="preserve">Есть ли какие-то пояснения к отчёту в Минюст?</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7. Светлана Владимировна Б.</w:t>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Минюст РФ утвердил новые формы ежегодной отчетности для российских НКО, в которых требуется отражение в отчётах за 2018 г. некоторой новой информации.</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частности, необходимо включить информацию о поступлении средств от российских организаций, получающих иностранное финансирование.</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Т.е. мы должны уведомлять всех наших получателей о наличие или отстутствии источников иностранного финансирования.</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Равно как и мы должны запрашивать всех наших доноров.</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Каким образом организовать сбор подобной информации и её обмен?</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8. Наталья Викторовна З.</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color w:val="ff00ff"/>
          <w:sz w:val="36"/>
          <w:szCs w:val="36"/>
          <w:rtl w:val="0"/>
        </w:rPr>
        <w:t xml:space="preserve">Шаронова</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Сотрудник нашей организации взял ипотечный кредит на покупку жилья.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 Постановлению АС СКО от 20.09.2016 № А32-1080/2016, в котором арбитры поддержали организацию, компенсирующую работнику затраты по уплате процентов по ипотечному кредиту и не начисляющую на эти суммы страховые взносы.</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Суд посчитал достаточным, что для обоснования расходов работник должен представить заявление о выплате компенсации по уплаченным процентам, копии кредитного договора, свидетельства о собственности на квартиру, паспорта работника с отметкой о регистрации в указанной квартире, квитанций банка об уплаченных процентах, справок банка об уплаченных процентах. При этом сумма компенсации уплаченных процентов отражалась по счету 73 "Расчеты с работниками по прочим операциям", а выплата производилась отдельным расходным ордером после представления работником документа об уплате процентов по ипотечному кредиту за прошедший месяц.</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по Вашему мнению,  может ли некоммерческая организация, которая существует на пожертвования, нет налога на прибыль, оплачивать работнику выплаты по ипотечному кредиту и не включать их в налогооблагаемую базу по страховым взносам?</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Согласно п. 13 ч. 1 ст. 9 Закона № 212-ФЗ</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13)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Можем ли мы оплачивать сумму не только процентов, но и основной долг, не выплачивая с этой суммы страховые взносы? </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Какими документами стоит заручиться? Стоит ли это отражать в трудовом договоре или лучше в положении о выплатах социального характера?</w:t>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9. Марина К.</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Часто на практике при заключении договоров пожертвования с некоммерческими организациями (в основном, с образовательными учреждениями), бухгалтеры просят договор пожертвования поименовывать как договор благотворительного пожертвования (а иногда и договором благотворительного неденежного пожертвования - в случае если в качестве пожертвования наш благотворительный фонд передает им ТМЦ на ведении ими уставной деятельности), мотивируя это тем, что в ином случае у них (благополучателей) возникает налог на доход.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Согласно ст. 582 ГК РФ данный договор именуется как договор пожертвования.Указаний, что договор должен быть поименован как "Благотворительного пожертвования" не содержится.</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ст 251 НК РФ и так не включает в налоговую базу (для начисления налога на доход) средства, перечисляемые в данном случае. </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Правомерны ли в данном случае просьбы ( а иногда очень настоятельные просьбы) поименовывать эти договоры "договорами благотворительного пожертвования".</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10</w:t>
      </w:r>
      <w:r w:rsidDel="00000000" w:rsidR="00000000" w:rsidRPr="00000000">
        <w:rPr>
          <w:rFonts w:ascii="Times New Roman" w:cs="Times New Roman" w:eastAsia="Times New Roman" w:hAnsi="Times New Roman"/>
          <w:b w:val="1"/>
          <w:sz w:val="36"/>
          <w:szCs w:val="36"/>
          <w:rtl w:val="0"/>
        </w:rPr>
        <w:t xml:space="preserve">. Ирина Николаевна К.</w:t>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 </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Fonts w:ascii="Times New Roman" w:cs="Times New Roman" w:eastAsia="Times New Roman" w:hAnsi="Times New Roman"/>
          <w:sz w:val="36"/>
          <w:szCs w:val="36"/>
          <w:rtl w:val="0"/>
        </w:rPr>
        <w:t xml:space="preserve">Подскажите пожалуйста, надо ли заключать договора пожертвования, когда деньги приходят на рас/счет от физ. лиц и у нас нет связи с этими людьми? И от какой суммы необходим договор пожертвования ?</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color w:val="00ff00"/>
          <w:sz w:val="36"/>
          <w:szCs w:val="36"/>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11. Ольга Геннадьевна Г.</w:t>
      </w:r>
    </w:p>
    <w:p w:rsidR="00000000" w:rsidDel="00000000" w:rsidP="00000000" w:rsidRDefault="00000000" w:rsidRPr="00000000" w14:paraId="0000004B">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Может ли он сдавать баланс и проходить обязательную аудиторскую проверку  только по итогам 2019 года как и прочие организации, открытые после 01 октября.  Или должен предоставить баланс за 2018 год</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Фонд израсходовал в 2018 году 20% на административные расходы  от поступивших взносов учредителей. Благотворительные программы утверждены Правлением фонда, определены получатели средств, но деньги в 2018 году не были израсходованы, планируется перечисление их в 2019 году. Сегодня состояние таково: 20% от поступивших взносов учредителей израсходовано на административные расходы 80% лежат на расчетном счете фонда.</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в таком случае должен выглядеть отчет фонда по форме ОН0002?</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Можно ли отразить расходование 80% так сказать «по начислению». А не «по оплате»</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Если отражение в отчете только «по оплате», то какое наказание за такое нарушение предусматривается?</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12. Адиля Халимовна Х.</w:t>
      </w:r>
    </w:p>
    <w:p w:rsidR="00000000" w:rsidDel="00000000" w:rsidP="00000000" w:rsidRDefault="00000000" w:rsidRPr="00000000" w14:paraId="00000055">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Коллегия адвокатов: наемных сотрудников нет, как сдать СЗВ-М и СТАЖ в ПФР и РСВ  на  руководителя, т.к. президент коллегии он же и адвокат.</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Адвокаты не относятся к категории сотрудников, с ними не заключаются ни трудовой, ни договор ГПХ. Они сами являются плательщиками фиксированных взносов.</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считается у адвокатов пенсия?</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Точно такие отчеты как сдать на имама мечети, он з/п не получает. в отчетах указать 00-00?</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у него будет идти стаж? и пенсия с чего будет.</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13. </w:t>
      </w:r>
      <w:r w:rsidDel="00000000" w:rsidR="00000000" w:rsidRPr="00000000">
        <w:rPr>
          <w:rFonts w:ascii="Times New Roman" w:cs="Times New Roman" w:eastAsia="Times New Roman" w:hAnsi="Times New Roman"/>
          <w:b w:val="1"/>
          <w:sz w:val="36"/>
          <w:szCs w:val="36"/>
          <w:highlight w:val="white"/>
          <w:rtl w:val="0"/>
        </w:rPr>
        <w:t xml:space="preserve">Нина Георгиевна П.</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1.Религиозная организация на УСН имеет в собственности жилую квартиру, в которой по договору безвозмездного пользования живет сотрудник.</w:t>
      </w:r>
    </w:p>
    <w:p w:rsidR="00000000" w:rsidDel="00000000" w:rsidP="00000000" w:rsidRDefault="00000000" w:rsidRPr="00000000" w14:paraId="0000005F">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Будет ли облагаться эта  жилая площадь налогом на имущество, если  квартире будет присвоен кадастровый номер?  О присвоении кадастрового номера не удалось узнать по адресу. Есть ли другие способы узнать кадастровый номер самим или налоговая должна известить организацию об этом?</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Организация выплатила авторский гонорар, оплатила в этот же день НДФЛ, но, автор прислал неверные банковские реквизиты и банк отказал в выплате.  Спустя несколько дней, автор прислал другие реквизиты. Нужно ли повторно оплатить НДФЛ? Сумма небольшая.</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14. Марина Львовна В.</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Организация заключает с физическим лицом договор аренды автомобиля с экипажем.</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Может ли физ. лицо осуществлять пассажирские перевозки без лицензии?</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Напомните, пожалуйста, почему при безвозмездном пользованием автомобилем возникает </w:t>
      </w:r>
      <w:r w:rsidDel="00000000" w:rsidR="00000000" w:rsidRPr="00000000">
        <w:rPr>
          <w:rFonts w:ascii="Times New Roman" w:cs="Times New Roman" w:eastAsia="Times New Roman" w:hAnsi="Times New Roman"/>
          <w:sz w:val="36"/>
          <w:szCs w:val="36"/>
          <w:highlight w:val="white"/>
          <w:rtl w:val="0"/>
        </w:rPr>
        <w:t xml:space="preserve">внереализационный доход в размере рыночной стоимости аренды аналогичного имущества? </w:t>
      </w:r>
      <w:r w:rsidDel="00000000" w:rsidR="00000000" w:rsidRPr="00000000">
        <w:rPr>
          <w:rFonts w:ascii="Arial" w:cs="Arial" w:eastAsia="Arial" w:hAnsi="Arial"/>
          <w:sz w:val="23"/>
          <w:szCs w:val="23"/>
          <w:highlight w:val="white"/>
          <w:rtl w:val="0"/>
        </w:rPr>
        <w:t xml:space="preserve">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15. Римма Викторовна С.</w:t>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Расскажите, пожалуйста:</w:t>
      </w:r>
    </w:p>
    <w:p w:rsidR="00000000" w:rsidDel="00000000" w:rsidP="00000000" w:rsidRDefault="00000000" w:rsidRPr="00000000" w14:paraId="0000006B">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sz w:val="36"/>
          <w:szCs w:val="36"/>
          <w:rtl w:val="0"/>
        </w:rPr>
        <w:t xml:space="preserve">-  об самых необходимых изменениях в учетную политику по бухгалтерскому учету на 2019 г.;</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sz w:val="36"/>
          <w:szCs w:val="36"/>
          <w:rtl w:val="0"/>
        </w:rPr>
        <w:t xml:space="preserve">- о сроке давности по административным взысканиям (штрафам) за несданный отчет в Росстат (отчет об инвестициях не сдан за 2,3 кварталы прошлого года, м. б., годовой не сдавать);</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16. Светлана Вадимовна П.</w:t>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не занимается предпринимательской деятельностью. С 01.01.18 перешел с ОСНО на УСН. За 4 кв. 2017 года сдана упрощенная декларация по НДС (титульный лист и раздел 1).  В январе 2019 года налоговая прислала требование с уплатой НДС, подлежащего восстановлению по ОС и материалам, которые находятся на балансе Фонда на 31.12.2018. </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бухгалтерской (финансовой) отчетности за 2017 год по строке «Основные средства» указан автомобиль Х, приобретенный в 2011 для уставной деятельности Фонда (НДС к вычету не принимался). По строке «Материалы» отражена стоимость персональных компьютеров, которые приобретены Фондом в рамках благотворительной деятельности для дальнейшей передачи социальным учреждениям и социально незащищенным слоям населения (НДС к вычету не принимался).</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подпункте 2 пункта 3 статьи 170 НК РФ указано, что восстановлению подлежат суммы налога в размере, ранее принятом к вычету. Поскольку  к вычету НДС при приобретении имущества, числящегося на балансе Фонда, ранее не принимался, ввиду использования в деятельности необлагаемой НДС, то и оснований для восстановления не имеется.  </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Правильно ли мы ответили налоговой?  Правомерно ли проведение камеральной проверки после 3 мес. после сдачи декларации?</w:t>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17. Елена Ивановна П.</w:t>
      </w: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Наша организация планирует принимать оплату от физических лиц за их обучение. Это наш основной вид деятельности. Оплата может быть произведена через кассу банка, либо через интернет – банк. Нужно ли оформлять БСО при оплате через интернет? Как должна быть оформлена в организации вся процедура оплаты?</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Организация (АНО) планирует закупить основные средства за счет субсидии из бюджета. При покупке будет получен счет-фактура. На какой счет относить входящий НДС?</w:t>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Наши сотрудники ездят в командировки. Оплата за время в командировках производится в соответствии с положением о командировках исходя из должностного оклада и предусмотренной ежемесячной премии. Не является ли это нарушением или такая форма оплаты тоже возможна?</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Наша организация (АНО), в соответствии со своими уставными целями (содействие развитию кластеров Нижегородской области), планирует заключить договор с Заказчиком на оказание услуг по подготовке бизнес-плана совместного проекта участников Нижегородского кластера.</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Услуги по подготовке бизнес-плана выполняются в два этапа.</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Первый этап выполняется нашей организацией. Стоимость услуг по выполнению первого этапа оплачивается Заказчиком на наш расчетный счет.</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Второй этап исполняется путем привлечения нами сторонней организации, финансируется из бюджета (целевые средства) и не оплачивается Заказчиком.</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Возникает ли объект налогообложения по НДС при выполнении второго этапа? Нет ли тут безвозмездного оказания услуг? Или же мы действуем в рамках целевого назначения субсидии, поскольку деньги идут строго на выполнение условий договора и НДС не возникает.</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18. Ирина Аркадьевна К.</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Фонд выпускает научный журнал, который частично безвозмездно раздает, частично продает юрлицам. В фонд обращаются физлица, которые не хотят оформлять подписку через почту России, а хотят покупать определённые номера журнала у фонда.</w:t>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для продажи журналов физлицам фонду необходимо приобрести ККТ, либо можно оформлять ПКО на приход  денег через кассу?</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19. Ольга Вячеславовна В.</w:t>
      </w: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Организация - НКО (Ассоциация), применяется УСНО (15%).</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В 2017 году был ошибочно указан доход по договору поручения, то есть вместо сч. 76 проводка была по сч. 62 (и соответственно 90), то есть была - неправильная классификация или оценка фактов хозяйственной деятельности. Ошибка несущественная.</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Исправления будем делать в 2018 без ретроспективного пересчета. </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как правильно сделать проводку - Д-т сч. 91 - К-т сч. 76? и какой пункт сч. 91 указать - доходы/убытки прошлых лет?</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Что ещё надо указать в отчетности и в БУ, как правильно (но без излишеств) оформить?</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Доход по КУДИР (кассовый метод) отличается от прибыли в отчете о финансовых результатах (метод начисления). Указать сразу пояснения в пояснительной записке или ждать требования пояснений? В каком объеме такие пояснения достаточны? Просто причину, или размер дебиторки по сч. 62, или подробную распечатку... В прошлом году я перекинула дебиторку со сч. 90 на сч. 76  - спрятала, никаких запросов от ФНС не было. </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Есть онлайн-касса, с ней возникло много проблем:</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 первый чек был пробит "наличными", хотя все получения средств безналичные, </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 настройка УСНО была сделана изначально правильно "доход-расход", потом что-то сбилось и в дальнейшем пробивалось "доход"</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 в самом конце года было проведено обновление (замена "электронные" на "безналичные") в результате сбились все предыдущие настройки адрес, название товара/услуг....), правда волшебным образом снова стало УСН "доход-расход"</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общем очень много неточностей, которые были обнаружены уже в начале января 2019. Сотрудники организации, которые делали программирование он-лайн кассы успокаивают, что из ФНС говорили, что пока главное - чтобы суммы были правильные, к остальному придираться пока не будут.  Суммы, действительно, по чекам все правильные. И вообще - это выявится только в случае проверки, когда  (и если) она будет, поскольку такие организации мало интересны для ФНС.</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Не понятно какие чеки коррекции делать в этих случаях и надо ли? Объем чеков с неправильным УСНО (доход) очень большой. Работать дальше и ждать проверки? Или "засветиться" и обратиться в ФНС?</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Были куплены ККТ, финансовый накопитель, лицензия и т.п., были сделаны настройки и перенастройки, используется симка -интернет от Мегафона (копейки, но все же ежемесячные расходы), расходная бумага. Я отнесла эти расходы на сч. 91 - прочие внереализационные доходы/расходы? Это правильно?</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20. Оксана Александровна К.</w:t>
      </w:r>
    </w:p>
    <w:p w:rsidR="00000000" w:rsidDel="00000000" w:rsidP="00000000" w:rsidRDefault="00000000" w:rsidRPr="00000000" w14:paraId="00000099">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Только что зарегистрировано НКО. Центр профориентации.</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Возможно ли, чтобы психологи заключали договор с нашим центром, как замозанятые, работая при этом еще в другой организации или как ИП? Тот же вопрос о бухгалтере, работнике IT и т.д.</w:t>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Я - директор НКО. Возможен ли договор со мной, как с ИП (психолог-консультант, бухгалтер, водитель и т.д.)?</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Если для проведения курса комплексной профориентации для подростков, родители сделают благотворительный взнос на р/с НКО "на ведение уставной деятельности" в сумме, равной оплате за этот курс, этот доход не будет считаться налогооблагаемым? </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Основной ОКВЭД 88.99. Можно ли применять пониженные тарифы страховых взносов согласно ст. 427 НК РФ (пп. 5 строка "деятельность по предоставлению прочих персональных услуг" и пп. 7)?</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21. Леонид М.</w:t>
      </w: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Мы (региональная НКО) уже 7 лет проводим в нашем городе благотворительную ярмарку совместно с городским реабилитационным центром для детей. На этой ярмарке мы продаём как поделки воспитанников этого центра, так и типографскую продукцию с рисунками воспитанников (календарики, значки, сумки). Собственно, в этот центр потом и идут все собранные деньги.</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Раньше ярмарка проходила в один день: мы приезжали со всем товаром в наш местный ТРЦ, раскладывались и торговали до конца рабочего дня. Соответственно, все деньги собирались наличными и после ярмарки эта пачка наличных денег передавалась в руки директору центра. По отчётностям нашей НКО эти деньги, разумеется, никак не проходили, а центр приходовал их, как добровольное пожертвование (ну, собственно, чем это и является).</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этом году мы планируем выйти на новый уровень.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А именно — заморочиться с оплатой картами. Во-первых, торговым эквайрингом (мобильный терминал непосредственно на Ярмарке), во-вторых, интернет-эквайрингом (делаем сайт, где выставляем все поделки, чтобы купить их можно было не только в ходе ярмарки, а за две недели до и неделю после).</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вот тут мы встречаемся лицом к лицу с тем самым 54-ФЗ, который утверждает, что добровольные пожертвования - не расчёты, и что использовать автоматическую отправку чеков не нужно.</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Но! Насколько правомочно тогда использовать в том самом интернет-магазине слово "продажа" и "товар"? С юридической точки зрения, конечно, мы принимаем добровольные пожертвования, за которые дарим людям памятные сувениры. Однако, для простоты восприятия всё же говорим, что люди у нас что-то покупают.</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Собственно, вопрос и состоит в том, как это грамотно организовать. Можно ли продолжать использовать на сайте и в группе ВКонтакте слова "товар", "купить" и "продать", насколько логично будет использовать для сайта модуль интернет-магазина (где тоже все элементы названы "товарами", которые "покупают")?</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Или же сразу надо писать дисклеймер, что мы ничего не продаём, мы принимаем исключительно добровольные пожертвования, за которые дарим сувениры, а то, что это выглядит, как интернет-магазин - это исключительно технические ограничения?</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22. Маргарита Николаевна К.</w:t>
      </w: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Директор организации пенсионного возраста в настоящее время не получает ЗП и взял продолжительный отпуск за свой счет с 01.10.2018, в связи с отсутствием финансирования организации.</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будет отражаться на его пенсии, тот факт, что на него подаются сведения в ПФР по форме СЗВ-М и он не получает заработную плату?</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Т.е. может есть смысл прекратить трудовой договор, чтобы проходила индексация пенсии (с 01 января 2019)?</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w:t>
      </w:r>
      <w:r w:rsidDel="00000000" w:rsidR="00000000" w:rsidRPr="00000000">
        <w:rPr>
          <w:rFonts w:ascii="Times New Roman" w:cs="Times New Roman" w:eastAsia="Times New Roman" w:hAnsi="Times New Roman"/>
          <w:sz w:val="36"/>
          <w:szCs w:val="36"/>
          <w:rtl w:val="0"/>
        </w:rPr>
        <w:t xml:space="preserve">нужно ли вносить изменения в выписку ЕГРЮЛ в случае расторжения трудового договора с Директором?</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23. Ольга Геннадьевна Г.</w:t>
      </w: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p>
    <w:p w:rsidR="00000000" w:rsidDel="00000000" w:rsidP="00000000" w:rsidRDefault="00000000" w:rsidRPr="00000000" w14:paraId="000000B6">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Благотворительный  фонд открылся 03.10.2018 года.</w:t>
      </w:r>
    </w:p>
    <w:p w:rsidR="00000000" w:rsidDel="00000000" w:rsidP="00000000" w:rsidRDefault="00000000" w:rsidRPr="00000000" w14:paraId="000000B7">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Фонд израсходовал в 2018 году 20 % на административные расходы  от поступивших взносов учредителей в соответствии с бюджетом фонда на 4кв. 18г.  Расходов на благотворительные цели в 4 квартале не произведено.</w:t>
      </w:r>
    </w:p>
    <w:p w:rsidR="00000000" w:rsidDel="00000000" w:rsidP="00000000" w:rsidRDefault="00000000" w:rsidRPr="00000000" w14:paraId="000000B8">
      <w:pPr>
        <w:shd w:fill="ffffff" w:val="clear"/>
        <w:spacing w:after="0" w:line="240" w:lineRule="auto"/>
        <w:ind w:lef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Сегодня состояние таково: 20% от поступивших взносов учредителей израсходовано на административные расходы 80 % лежат на расчетном счете фонда.</w:t>
      </w:r>
    </w:p>
    <w:p w:rsidR="00000000" w:rsidDel="00000000" w:rsidP="00000000" w:rsidRDefault="00000000" w:rsidRPr="00000000" w14:paraId="000000B9">
      <w:pPr>
        <w:shd w:fill="ffffff" w:val="clea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в таком случае должен выглядеть отчет фонда по форме ОН0002?</w:t>
      </w:r>
    </w:p>
    <w:p w:rsidR="00000000" w:rsidDel="00000000" w:rsidP="00000000" w:rsidRDefault="00000000" w:rsidRPr="00000000" w14:paraId="000000BA">
      <w:pPr>
        <w:shd w:fill="ffffff" w:val="clear"/>
        <w:spacing w:after="0" w:line="240" w:lineRule="auto"/>
        <w:ind w:lef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Является ли это нарушением. Какое наказание за это нарушение?</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24. Ольга М.</w:t>
      </w: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Фонд (некоммерческая, но не благотворительная организация) в рамках целевой программы поддержки безработной молодежи организует обучение слушателей в колледжах и получение ими специального образования по рабочим профессиям. В дальнейшем, эти молодые люди проходят стажировки на предприятиях своего города и по возможности трудоустраиваются на эти предприятия. Фонд оказывает им еще и единовременную материальную помощь по договору пожертвования (Фонд перечисляет НДФЛ с этих договоров).</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w:t>
        <w:tab/>
        <w:t xml:space="preserve">В текущем году среди слушателей имеется один гражданин Таджикистана, у которого есть регистрация и вид на жительство. Может ли Фонд выдать ему материальную помощь (пожертвование)? Какие персональные данные указывать в отчётах по НДФЛ на такого получателя пожертвования.</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w:t>
        <w:tab/>
        <w:t xml:space="preserve">Второй слушатель является сиротой, отслужил в армии и получает пенсию по потере кормильца. В случае такого обучения и получения материальной помощи, не лишится ли он пенсии?</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w:t>
        <w:tab/>
        <w:t xml:space="preserve">Среди слушателей в основном выпускники детских домов и трудные подростки. Сумма пожертвования 10 000 руб. Можно ли не начислять НДФЛ по договорам пожертвования такой категории молодежи. И если да, то, какие еще документы Фонд должен иметь, кроме непосредственно самих договоров пожертвования.</w:t>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25. Ольга М.</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Наша некоммерческая, социально ориентированная организация имеет правовую форму "Фонд" (не благотворительный). До 31.12.2018 г. у нас была льгота по отчислениям во внебюджетные фонды (20% в Пенсионный Фонд и 0,2% в ФСС). Сохраняется ли льгота с 01.01.2019 года у такого рода организаций. И если нет, то какие отчисления с ФОТ необходимо платить.</w:t>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 2019 году Фондом будут проводиться программы:</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w:t>
        <w:tab/>
        <w:t xml:space="preserve">по социальной поддержке безработной молодежи в г. Самара (обучение трудовым специальностям с последующим трудоустройством); </w:t>
      </w:r>
    </w:p>
    <w:p w:rsidR="00000000" w:rsidDel="00000000" w:rsidP="00000000" w:rsidRDefault="00000000" w:rsidRPr="00000000" w14:paraId="000000C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w:t>
        <w:tab/>
        <w:t xml:space="preserve">создание классов робототехники в школах г. Самары;</w:t>
      </w:r>
    </w:p>
    <w:p w:rsidR="00000000" w:rsidDel="00000000" w:rsidP="00000000" w:rsidRDefault="00000000" w:rsidRPr="00000000" w14:paraId="000000C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w:t>
        <w:tab/>
        <w:t xml:space="preserve">организация досуга ветеранов производства с выездами в театры и через встречи с актерами и музыкантами.</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26. Анна И.</w:t>
      </w:r>
    </w:p>
    <w:p w:rsidR="00000000" w:rsidDel="00000000" w:rsidP="00000000" w:rsidRDefault="00000000" w:rsidRPr="00000000" w14:paraId="000000CC">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CD">
      <w:pPr>
        <w:spacing w:after="0" w:line="240" w:lineRule="auto"/>
        <w:ind w:lef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касается деятельности благотворительного фонда. Согласно п . 16 ФЗ № 135 заработная плата сотрудников АУП не должна превышать 20% финансовых средств, расходуемых за финансовый год. Какие расходы мы должны учитывать для расчета этого предельного процента. Можно ли включать в расчет этого предела расходы по  зп и страховым взносам сотрудников благотворительного отдела?</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Какой код  благот пожертвований  необходимо указывать в  разделе 7 Декларации по налогу на прибыль благот. фонду  140 или 180. Поясните, пожалуйста, разницу.</w:t>
      </w:r>
    </w:p>
    <w:p w:rsidR="00000000" w:rsidDel="00000000" w:rsidP="00000000" w:rsidRDefault="00000000" w:rsidRPr="00000000" w14:paraId="000000CF">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27. Наталья Р. </w:t>
      </w:r>
    </w:p>
    <w:p w:rsidR="00000000" w:rsidDel="00000000" w:rsidP="00000000" w:rsidRDefault="00000000" w:rsidRPr="00000000" w14:paraId="000000D1">
      <w:pPr>
        <w:spacing w:after="0" w:line="240" w:lineRule="auto"/>
        <w:jc w:val="both"/>
        <w:rPr>
          <w:rFonts w:ascii="Arial" w:cs="Arial" w:eastAsia="Arial" w:hAnsi="Arial"/>
          <w:sz w:val="21"/>
          <w:szCs w:val="21"/>
          <w:shd w:fill="e8e8e8" w:val="clear"/>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Руководитель организации выполняет функции по договору волонтёра — на безвозмездной основе. Но одновременно, он же является руководителем проекта, на который получен грант. Может ли он получать оплату за руководство проектом на счёт своего  ИП (чтобы сократить выплату налогов) по договору оказания услуг?</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28. Алена</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Куплена земля и дом в другом городе нужно ли открывать там подразделение?</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29. </w:t>
      </w:r>
      <w:r w:rsidDel="00000000" w:rsidR="00000000" w:rsidRPr="00000000">
        <w:rPr>
          <w:rFonts w:ascii="Times New Roman" w:cs="Times New Roman" w:eastAsia="Times New Roman" w:hAnsi="Times New Roman"/>
          <w:b w:val="1"/>
          <w:sz w:val="36"/>
          <w:szCs w:val="36"/>
          <w:highlight w:val="white"/>
          <w:rtl w:val="0"/>
        </w:rPr>
        <w:t xml:space="preserve">Александра Игоревна П. </w:t>
      </w: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Центробанк отозвал лицензию у Донхлеббанка, где был наш счет и чуть более 13 тыс.руб. Деньги небольшие, но для нас не лишние. Как поступить, чтобы эти деньги нам были возвращены на другой счет в Сбербанке?</w:t>
      </w:r>
    </w:p>
    <w:p w:rsidR="00000000" w:rsidDel="00000000" w:rsidP="00000000" w:rsidRDefault="00000000" w:rsidRPr="00000000" w14:paraId="000000DB">
      <w:pPr>
        <w:spacing w:after="0" w:line="343.2" w:lineRule="auto"/>
        <w:ind w:left="0" w:right="74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DC">
      <w:pPr>
        <w:spacing w:after="0" w:line="343.2" w:lineRule="auto"/>
        <w:ind w:left="0" w:right="74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30. Ирина Б.</w:t>
      </w:r>
    </w:p>
    <w:p w:rsidR="00000000" w:rsidDel="00000000" w:rsidP="00000000" w:rsidRDefault="00000000" w:rsidRPr="00000000" w14:paraId="000000DD">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0000"/>
          <w:sz w:val="36"/>
          <w:szCs w:val="36"/>
          <w:highlight w:val="white"/>
          <w:rtl w:val="0"/>
        </w:rPr>
        <w:t xml:space="preserve">НЕВЕРОВ</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Директор - внешний совместитель в этой организации, и бухгалтер тоже. Так можно ли одному из нас оформить внутреннее совмещение должности кассира? Как отдельную ставку или просто прибавку к зарплате?</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И нужно ли как-то отдельно по совмещенному кассиру отчитываться (как по обособленному подразделению, который находится в др. месте)</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1">
      <w:pPr>
        <w:spacing w:after="240" w:before="240" w:line="240" w:lineRule="auto"/>
        <w:ind w:left="0" w:right="64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31. Ольга М.</w:t>
      </w: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Может ли некоммерческая организация (Фонд) использовать труд самозанятых. Может ли бухгалтер быть самозанятым?</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32. Марина В.</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Вопрос про ИП наверное в том, что может ли директор, выполняющий трудовые обязанности в организации по трудовому договору, нанять себя же для выполнения других обязанностей как ИП.</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После переписки с Пенсионным фондом по поводу подачи СЗВ-М  и СЗВ-стаж на исполнительного директора получили следующее письмо: "Согласно Устава фонда "КОНТЕКСТ", который является некоммерческой организацией, созданной на основе добровольного имущественного взноса,  отчетность по форме СЗВ-М в УПФР предоставлять НЕ НАДО."</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С исполнительным директором заключили волонтерский договор.</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Добавление: в Фонде нет деятельности и средств.</w:t>
      </w:r>
      <w:r w:rsidDel="00000000" w:rsidR="00000000" w:rsidRPr="00000000">
        <w:rPr>
          <w:rtl w:val="0"/>
        </w:rPr>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rPr>
      </w:pPr>
      <w:r w:rsidDel="00000000" w:rsidR="00000000" w:rsidRPr="00000000">
        <w:rPr>
          <w:rtl w:val="0"/>
        </w:rPr>
      </w:r>
    </w:p>
    <w:sectPr>
      <w:headerReference r:id="rId6" w:type="default"/>
      <w:pgSz w:h="16838" w:w="11906"/>
      <w:pgMar w:bottom="1134" w:top="1134" w:left="1695"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pPr>
    <w:rPr>
      <w:b w:val="1"/>
      <w:smallCaps w:val="0"/>
      <w:sz w:val="28"/>
      <w:szCs w:val="28"/>
    </w:rPr>
  </w:style>
  <w:style w:type="paragraph" w:styleId="Heading5">
    <w:name w:val="heading 5"/>
    <w:basedOn w:val="Normal"/>
    <w:next w:val="Normal"/>
    <w:pPr>
      <w:spacing w:after="60" w:before="240" w:lineRule="auto"/>
    </w:pPr>
    <w:rPr>
      <w:b w:val="1"/>
      <w:i w:val="1"/>
      <w:smallCaps w:val="0"/>
      <w:sz w:val="26"/>
      <w:szCs w:val="26"/>
    </w:rPr>
  </w:style>
  <w:style w:type="paragraph" w:styleId="Heading6">
    <w:name w:val="heading 6"/>
    <w:basedOn w:val="Normal"/>
    <w:next w:val="Normal"/>
    <w:pPr>
      <w:spacing w:after="60" w:before="240" w:lineRule="auto"/>
    </w:pPr>
    <w:rPr>
      <w:b w:val="1"/>
      <w:smallCaps w:val="0"/>
    </w:rPr>
  </w:style>
  <w:style w:type="paragraph" w:styleId="Title">
    <w:name w:val="Title"/>
    <w:basedOn w:val="Normal"/>
    <w:next w:val="Normal"/>
    <w:pP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