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Вопросы к вебинару 05 декабря 2018 г. (среда)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Вера Юрьевна С.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У организации есть гос. контракт с департаментом на оказание социальных услуг (деятельность, приносящая доход). По условиям контракта оплата производится  по факту оказания услуг, через несколько месяцев после начала работы. В связи с этим  в течение срока реализации контракта, пока не поступили денежные средства от департамента, расходы по деятельности, приносящей доход,  покрывались за счет пожертвований на уставную деятельность.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Каким образом правильно оформить эту операцию (документы и проводки)?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Организации были пожертвованы подарочные карты определённого магазина (по акту пожертвования). Затем в магазине на эти карты были приобретены товары(игрушки и пр.). Как правильно оформить эти операции (документы и проводки)?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Ирина 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НКО (музей) начинает торговлю сопутствующими уставной деятельности товарами. Физ. лица жертвуют нам денежные средства (по договору пожертвования) на предпринимательскую деятельность (на закупку товаров для перепродажи). Правильно ли далее действует бухгалтер: оформляет их на 10 счёт, по рыночной стоимости. Далее, когда получает прибыль с продажи, хочет всю сумму пустить на оплату текущих общехозяйственных некоммерческих расходов. Вопрос: тогда в какой момент и в каком размере можно будет на вырученные деньги закупить очередную партию товара для дальнейшей перепродажи? Можно ли сделать на них наценку? И нужно ли ставить их на 41 счёт как товары?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Правильно ли я понимаю, что прибыль от продажи пожертвованного имущества не облагается налогом (у нас УСН 6%)? Достаточно ли будет в случае проверки предъявить налоговой договор пожертвования? На какие НПА нужно ссылаться? (Вырученные деньги были направлены на уставную деятельность, оплату текущих расходов на содержание организации).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Физ. лицо пожертвовало нам денежные средства (по договору) на покупку ККТ для ведения предпринимательской деятельности - торговли товарами (в рамках уставной, музейной деятельности (о чём говорилось в вопросе 1). Стоимость кассы - 22 тыс.руб. Срок службы, к примеру, 5 лет. Можно ли кассовый аппарат принять к учёту на забалансовом счёте (например, 012), далее списать как МПЗ, не начисляя износ, как принято для основных средств? 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Марианна Тихоновна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 меня будет несколько вопросов:</w:t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Наша организация до 2011 года получала пожертвования от иностранных благотворителей. Потом все валютные счета были закрыты. 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"Перечне типовых управленческих документов с указанием сроков хранения" Росархива указано, что документы (отчеты, сводки) о ведении валютных и обменных операций, операций с грантами должны хранится постоянно.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Какие документы надо хранить постоянно: отчеты об использовании средств, банковские документы, авансовые отчеты и т.д.?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В этом же "Перечне..." указано, что документы на основные средства тоже надо хранить постоянно. А если износ списан, и само средство уже списано. Надо на него хранить документы и какие?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И еще один вопрос по "Перечню". В нем указано, что первичные документы (кассовые и банковские документы, авансовые отчеты, накладные и др.) должны хранится не менее 5 лет при условии завершения проверки или ревизии. Что это значит? Отсчет идет от времени проверки?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Лина Леонидовна М. 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соответствии со Ст. 217 НК РФ, не облагаются доходом НДФЛ в том числе пп  10) ...суммы, уплаченные... благотворительными организациями и иными некоммерческими организациями, одной из целей деятельности которых является в соответствии с учредительными документами содействие охране здоровья граждан, за медицинские услуги, оказанные лицам, не состоящим с ними в трудовых отношениях, а также за приобретенные ими лекарственные средства для указанных лиц (в ред. Федерального закона от 25.11.2013 № 317-ФЗ)...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Указанные доходы освобождаются от налогообложения в случае безналичной оплаты ... некоммерческими организациями, одной из целей деятельности которых является в соответствии с учредительными документами содействие охране здоровья граждан, медицинским организациям расходов на оказание медицинских услуг налогоплательщикам, а также в случае выдачи наличных денежных средств, предназначенных на эти цели, непосредственно налогоплательщику... или зачисления средств, предназначенных на эти цели, на счета налогоплательщиков в банках"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Вопросы: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Может ли благотворительный фонд или благотворительная общественная организация  жертвовать лекарства следующим образом (и какие документы должны быть оформлены?):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сотрудник благотворительной организации покупает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лекарства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на основании выписки из больничной карты благополучателя или по рецепту наличными в аптеке, а затем передает эти лекарства благополучателю - физическому лицу (это дешевле, чем за безналичный расчет). Лицензии на оказание медицинских услуг у организации нет. Если деньги выдавать непосредственно физлицу (нал/безнал) на покупку лекарства, то как проследить, что он купил лекарство (какие нужны документы)? 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не будет ли нарушением правилам оборота лекарственных средств при безналичном платеже за лекарства в аптеку,  передача лекарства благополучателю непосредственно самой  благотворительной организацией ? Или необходимо оформить получение лекарств благополучателем непосредственно в аптеке?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Когда лекарства/косметика/БАДы  передается благотворительной организации, которая не имеет мед.лицензии и медработника, другой организацией, может ли благотворительная организация передавать их дальше благополучателям юр.лицам/физ.лицам?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Как оформить брак/просроченные БАДы/косметические средства, когда он обнаружится после принятия пожертвования?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А.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Скажите какие формулировки по уплате членских взносов можно отнести к целевому финансированию?</w:t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Возможны ли такие формулировки: целевой членский взнос или дополнительный членский взнос. Имеется ввиду финансирование одним или несколькими членами ассоциации (но не всеми) какой либо программы или проекта ассоциации. Какова практика подобных ситуаций?</w:t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Нина Георгиевна П.</w:t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Религиозная организация на УСН имеет в собственности недвижимость, половину площади сдает в аренду.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Недавно мы узнали, что недвижимости, площадь 449 кв.м., присвоен  кадастровый номер, определена кадастровая стоимость в конце 2016г.</w:t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Новом Перечне объектов, подлежащих налогообложению по кадастровой стоимости в г. Москве на 2018 год, нашего дома, где находится нежилое помещение, нет.</w:t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  </w:t>
        <w:tab/>
        <w:t xml:space="preserve">Означает ли это, что мы, по-прежнему, не должны  платить налог на имущество и не должны сдавать декларацию по налогу на имущество с площади, сдаваемой в аренду?</w:t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  </w:t>
        <w:tab/>
        <w:t xml:space="preserve">Какими первичными документами нужно оформить  изменение  стоимости?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 Наталья 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а) Могут ли самозанятые с 01.01.2019 предоставлять  НКО бухгалтерские, кадровые, услуги по управлению организацией и т п?</w:t>
      </w:r>
    </w:p>
    <w:p w:rsidR="00000000" w:rsidDel="00000000" w:rsidP="00000000" w:rsidRDefault="00000000" w:rsidRPr="00000000" w14:paraId="00000038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б) Руководство религиозной организации, на основании внутренних установлений решило освободить сотрудников, отработавших в организации 30 лет и более  от служения с пожизненной выплатой пособия. У них остается право, а не обязанность, служить.</w:t>
      </w:r>
    </w:p>
    <w:p w:rsidR="00000000" w:rsidDel="00000000" w:rsidP="00000000" w:rsidRDefault="00000000" w:rsidRPr="00000000" w14:paraId="0000003B">
      <w:pPr>
        <w:spacing w:after="0" w:line="240" w:lineRule="auto"/>
        <w:ind w:left="80" w:firstLine="0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 какому виду дохода ст 208 НК можно отнести эти выплаты?  Подлежат ли  эти выплаты НДФЛ, страховыми? </w:t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Какими документами бухгалтер может доказать инспекции, что эта  постоянная выплата не является заработной платой?</w:t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они будут добровольно служить, можем ли мы оплачивать им расходы как добровольцам, например, проезд и суточные?</w:t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Ирина Валерьевна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Между нашей организацией и Министерством социального развития заключено Соглашение о предоставлении из бюджета Пермского края субсидии некоммерческой организации, не являющейся государственным (муниципальным) учреждением на оказание психологической помощи, в том числе экстренной, по детскому телефону доверия (далее – Соглашение). </w:t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Согласно п. 4.3.2. Соглашения мы обязаны «включать в договоры (соглашения), заключённые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 и запрета приобретения иностранной валюты за счет средств субсидии, за исключением операций, определённых в Порядке предоставления субсидии».</w:t>
      </w:r>
    </w:p>
    <w:p w:rsidR="00000000" w:rsidDel="00000000" w:rsidP="00000000" w:rsidRDefault="00000000" w:rsidRPr="00000000" w14:paraId="0000004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Данное обязательство также прописано в абз. 5 п. 4.13.  Постановления Правительства Пермского края от 28.12.2017 № 1101-п «включать в договоры (соглашения), заключённые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 и  запрета приобретения иностранной валюты за счет средств субсидии, за исключением операций, определенных в Порядке предоставления субсидии».</w:t>
      </w:r>
    </w:p>
    <w:p w:rsidR="00000000" w:rsidDel="00000000" w:rsidP="00000000" w:rsidRDefault="00000000" w:rsidRPr="00000000" w14:paraId="0000004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свою очередь согласно Статьи 78 БК РФ: п 5. «При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предоставления.»;</w:t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п. 5.1. «При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счёт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лицам.».</w:t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Бюджетном кодексе РФ ничего не сказано, что данное согласие обязаны давать третьи лица, т.е. те организации, у которых мы приобретаем товары, работы, услуги за  счёт средств предоставленной нам субсидии.</w:t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рамках выполнения наших обязательства по Соглашению мы отправили  запрос в Ростелеком о получении от них согласия в соответствии с п. 4.3.2 Соглашения, на что получили такой ответ: </w:t>
      </w:r>
    </w:p>
    <w:p w:rsidR="00000000" w:rsidDel="00000000" w:rsidP="00000000" w:rsidRDefault="00000000" w:rsidRPr="00000000" w14:paraId="00000048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Предметом договоров от 22.08.2012 № 8426, от 15.08.2012 № 4306344, заключённых между ПАО «Ростелеком» и АНО «Х», является оказание услуг связи (далее - Договоры), указанные Вами соглашения от 10.04.2018 № 378, от 06.03.2018 № 254 заключены между АНО «Х» и Министерством социального развития в 2018 году (далее - Соглашения).</w:t>
      </w:r>
    </w:p>
    <w:p w:rsidR="00000000" w:rsidDel="00000000" w:rsidP="00000000" w:rsidRDefault="00000000" w:rsidRPr="00000000" w14:paraId="00000049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Таким образом, указанные Договоры на услуги связи не могли быть заключены в 2012 году во исполнение Соглашений, подписанных в 2018 году.</w:t>
      </w:r>
    </w:p>
    <w:p w:rsidR="00000000" w:rsidDel="00000000" w:rsidP="00000000" w:rsidRDefault="00000000" w:rsidRPr="00000000" w14:paraId="0000004A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 соответствии с ч. 3 ст. 308 ГК РФ Обязательство не создает обязанностей для лиц, не участвующих в нём в качестве сторон (для третьих лиц).</w:t>
      </w:r>
    </w:p>
    <w:p w:rsidR="00000000" w:rsidDel="00000000" w:rsidP="00000000" w:rsidRDefault="00000000" w:rsidRPr="00000000" w14:paraId="0000004B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Учитывая вышеизложенное, не представляется возможным подписать направленное в адрес ПАО «Ростелеком» согласие на осуществление проверок исполнения обязательств по Договорам со стороны 3-х лиц.</w:t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Надеемся на понимание и дальнейшее взаимовыгодное сотрудничество.</w:t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Мы планируем написать в Министерство официальное письмо о том, что с нашей стороны не представляется возможным выполнить обязательства, прописанные в п. 4.3.2 Соглашения. Подскажите, пожалуйста, как правильно аргументировать, ссылаясь на Законодательство РФ,  о том, что выполнение данного обязательства не представляется возможным.</w:t>
      </w:r>
    </w:p>
    <w:p w:rsidR="00000000" w:rsidDel="00000000" w:rsidP="00000000" w:rsidRDefault="00000000" w:rsidRPr="00000000" w14:paraId="0000004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9. Татьяна 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</w:p>
    <w:p w:rsidR="00000000" w:rsidDel="00000000" w:rsidP="00000000" w:rsidRDefault="00000000" w:rsidRPr="00000000" w14:paraId="0000005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СРО архитекторов ведет учет членских взносов методом начисления (Д-т 76 К-т 86 и Д-т 51 К-т 76).</w:t>
      </w:r>
    </w:p>
    <w:p w:rsidR="00000000" w:rsidDel="00000000" w:rsidP="00000000" w:rsidRDefault="00000000" w:rsidRPr="00000000" w14:paraId="0000005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Суммы неуплаченных членских взносов взыскивались с должников по суду. Однако, в текущем году нам были возвращены несколько исполнительных листов по закрытым судебным производствам по взысканию неуплаченных членских взносов. </w:t>
      </w:r>
    </w:p>
    <w:p w:rsidR="00000000" w:rsidDel="00000000" w:rsidP="00000000" w:rsidRDefault="00000000" w:rsidRPr="00000000" w14:paraId="0000005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1.Как правильно списать безнадежную дебиторскую задолженность по членским взносам, учитывая, что резерв по сомнительным долгам у нас не создавался: сторнированием начисленных членских взносов или руководствуясь Инструкцией по применению Плана счетов за  счет увеличения расходов некоммерческой организации с последующим учетом невостребованной задолженности на забалансовом счете?</w:t>
      </w:r>
    </w:p>
    <w:p w:rsidR="00000000" w:rsidDel="00000000" w:rsidP="00000000" w:rsidRDefault="00000000" w:rsidRPr="00000000" w14:paraId="0000005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Нужно ли в исполнительной смете за текущий год отражать расход в сумме списанных членских взносов «по оконченным исполнительным пр-вам?</w:t>
      </w:r>
    </w:p>
    <w:p w:rsidR="00000000" w:rsidDel="00000000" w:rsidP="00000000" w:rsidRDefault="00000000" w:rsidRPr="00000000" w14:paraId="0000005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Татьяна Евгеньевна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Мы  -  НКО,  образовательное  частное  учреждение. Не имеем бюджетного финансирования.  Выручка  НКО  -  от  приносящей  доход  деятельности, платные образовательные услуги.</w:t>
      </w:r>
    </w:p>
    <w:p w:rsidR="00000000" w:rsidDel="00000000" w:rsidP="00000000" w:rsidRDefault="00000000" w:rsidRPr="00000000" w14:paraId="0000005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 отчёте  о  целевом  использовании  средств  отражаем поступления по статье "Целевые средства" - только за счет нераспределенной прибыли.</w:t>
      </w:r>
    </w:p>
    <w:p w:rsidR="00000000" w:rsidDel="00000000" w:rsidP="00000000" w:rsidRDefault="00000000" w:rsidRPr="00000000" w14:paraId="0000005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Учредитель  утверждает  нам  ежегодно  программу использования целевых средств, так называемую инвестиционную программу.</w:t>
      </w:r>
    </w:p>
    <w:p w:rsidR="00000000" w:rsidDel="00000000" w:rsidP="00000000" w:rsidRDefault="00000000" w:rsidRPr="00000000" w14:paraId="0000005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 ли мы отразить Д 86 счета в 2018 году по факту принятия решения учредителем о  направлении  целевых  средств по инвестиционной программе:</w:t>
      </w:r>
    </w:p>
    <w:p w:rsidR="00000000" w:rsidDel="00000000" w:rsidP="00000000" w:rsidRDefault="00000000" w:rsidRPr="00000000" w14:paraId="0000005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 на сумму 100% предоплаты на  приобретение основных средств по инвестиционной  программе,  если  в 2018 году ОС оплачены, но поставка будет в 2019 году.</w:t>
      </w:r>
    </w:p>
    <w:p w:rsidR="00000000" w:rsidDel="00000000" w:rsidP="00000000" w:rsidRDefault="00000000" w:rsidRPr="00000000" w14:paraId="0000005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   на   стоимость   подписанного   договора  на  разработку  сайта учреждения (100% стоимости разработки сайта), если  в  2018 году работы по сайту приняты не полностью.</w:t>
      </w:r>
    </w:p>
    <w:p w:rsidR="00000000" w:rsidDel="00000000" w:rsidP="00000000" w:rsidRDefault="00000000" w:rsidRPr="00000000" w14:paraId="0000005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11. Светлана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</w:p>
    <w:p w:rsidR="00000000" w:rsidDel="00000000" w:rsidP="00000000" w:rsidRDefault="00000000" w:rsidRPr="00000000" w14:paraId="0000006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В ноябре 2018 года была проведена проверка Министерства юстиции за период с 01.11.2015 по 31.10.2018 года. Может ли влиять данное обстоятельство на срок хранения документов? Существует ли для благотворительного фонда иной срок хранения документов? Если да, то каких?</w:t>
      </w:r>
    </w:p>
    <w:p w:rsidR="00000000" w:rsidDel="00000000" w:rsidP="00000000" w:rsidRDefault="00000000" w:rsidRPr="00000000" w14:paraId="0000006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В нашем фонде работают няни по уходу за детьми, оставшимися без попечения родителей. Периодически няни выезжают в региональные больницы на междугороднем автобусе. Няни работают по договору ГПХ. Как можно оформить им возмещение расходов на проезд?</w:t>
      </w:r>
    </w:p>
    <w:p w:rsidR="00000000" w:rsidDel="00000000" w:rsidP="00000000" w:rsidRDefault="00000000" w:rsidRPr="00000000" w14:paraId="0000006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6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Ежегодно няни должны проходить медосмотр. Может ли фонд возмещать расходы на медосмотр? И как документально это оформить? Напоминаю, что няни работают по договору ГПХ, многие проживают в других городах нашего региона и имеют разный срок окончания медосмотра.</w:t>
      </w:r>
    </w:p>
    <w:p w:rsidR="00000000" w:rsidDel="00000000" w:rsidP="00000000" w:rsidRDefault="00000000" w:rsidRPr="00000000" w14:paraId="0000006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12. Наталья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 - см.вопрос №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СОУТ. Нужно ли надомникам; как оформлять няням, работающим на чужих территориях (в больницах и квартирах). Как сэкономить на СОУТ?</w:t>
      </w:r>
    </w:p>
    <w:p w:rsidR="00000000" w:rsidDel="00000000" w:rsidP="00000000" w:rsidRDefault="00000000" w:rsidRPr="00000000" w14:paraId="0000006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13. Ольга Вячеславовна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</w:p>
    <w:p w:rsidR="00000000" w:rsidDel="00000000" w:rsidP="00000000" w:rsidRDefault="00000000" w:rsidRPr="00000000" w14:paraId="0000006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Для учета в бухгалтерской программе физ.лица по ГПД можно использовать 70 счет и рассчитывать как зарплату - начислять НДФЛ и взносы (кроме ФСС)? В организации всего 2 человека в штате и 1 по ГПД (председатель правления - оплата ежемесячная).</w:t>
      </w:r>
    </w:p>
    <w:p w:rsidR="00000000" w:rsidDel="00000000" w:rsidP="00000000" w:rsidRDefault="00000000" w:rsidRPr="00000000" w14:paraId="0000006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Павел Юрьевич, Вы хорошо отзывались о программе для НКО фирмы “Инфо-бухгалтер”. Вы так же довольны, есть ли ещё отзывы от членов клуба бухгалтеров и аудиторов некоммерческих организаций? Программа ВДГБ (1-Рарус теперь) на базе 1С, после обновлений релизов и платформы перестала быть полностью функциональной - пошли глюки с начислением зарплаты, стало труднее работать, уменьшилась аналитика в отчетах, и т.п. Они срочно делают обновления за обновлениями, но пока это недостаточно для нормальной работы. </w:t>
      </w:r>
    </w:p>
    <w:p w:rsidR="00000000" w:rsidDel="00000000" w:rsidP="00000000" w:rsidRDefault="00000000" w:rsidRPr="00000000" w14:paraId="0000007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14. Маргарита Николаевна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Некоммерческая организация "Фонд Х." на УСН 6%, ОКВЭДы</w:t>
      </w:r>
    </w:p>
    <w:p w:rsidR="00000000" w:rsidDel="00000000" w:rsidP="00000000" w:rsidRDefault="00000000" w:rsidRPr="00000000" w14:paraId="0000007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90.02 Деятельность вспомогательная, связанная с исполнительскими искусствами,</w:t>
      </w:r>
    </w:p>
    <w:p w:rsidR="00000000" w:rsidDel="00000000" w:rsidP="00000000" w:rsidRDefault="00000000" w:rsidRPr="00000000" w14:paraId="0000007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59.11 Производство кинофильмов, видеофильмов и телевизионных программ</w:t>
      </w:r>
    </w:p>
    <w:p w:rsidR="00000000" w:rsidDel="00000000" w:rsidP="00000000" w:rsidRDefault="00000000" w:rsidRPr="00000000" w14:paraId="0000007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59.14 Деятельность в области демонстрации кинофильмов и т.д.</w:t>
      </w:r>
    </w:p>
    <w:p w:rsidR="00000000" w:rsidDel="00000000" w:rsidP="00000000" w:rsidRDefault="00000000" w:rsidRPr="00000000" w14:paraId="0000007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просит Вас разъяснить следующее.</w:t>
      </w:r>
    </w:p>
    <w:p w:rsidR="00000000" w:rsidDel="00000000" w:rsidP="00000000" w:rsidRDefault="00000000" w:rsidRPr="00000000" w14:paraId="0000007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Физическое лицо (владелец) - президент Фонда передаёт неисключительное право (лицензию) по Договору Фонду на действия с док.фильмом, (прилагается типовой договор, синим цветом текст).</w:t>
      </w:r>
    </w:p>
    <w:p w:rsidR="00000000" w:rsidDel="00000000" w:rsidP="00000000" w:rsidRDefault="00000000" w:rsidRPr="00000000" w14:paraId="0000007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Одновременно на время заключения Договора с каналом Культура (который может заключать договор только с юр. лицом) Фонд передаёт также неисключительное право (лицензию) на действия с фильмом на 1 год. Сумма вознаграждения от канала Культура символическая - 100 рублей.</w:t>
      </w:r>
    </w:p>
    <w:p w:rsidR="00000000" w:rsidDel="00000000" w:rsidP="00000000" w:rsidRDefault="00000000" w:rsidRPr="00000000" w14:paraId="0000007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 будет ли считаться притворной сделкой символическая плата 100 руб по обоим Договорам и связанная с этим налогооблагаемая база у Фонда?</w:t>
      </w:r>
    </w:p>
    <w:p w:rsidR="00000000" w:rsidDel="00000000" w:rsidP="00000000" w:rsidRDefault="00000000" w:rsidRPr="00000000" w14:paraId="0000007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Каковы могут быть риски у организации в связи с этим?</w:t>
      </w:r>
    </w:p>
    <w:p w:rsidR="00000000" w:rsidDel="00000000" w:rsidP="00000000" w:rsidRDefault="00000000" w:rsidRPr="00000000" w14:paraId="0000007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По новому соглашению с ПФР, может ли организация НЕ заключать этого соглашения в принципе? (прилагается).</w:t>
      </w:r>
    </w:p>
    <w:p w:rsidR="00000000" w:rsidDel="00000000" w:rsidP="00000000" w:rsidRDefault="00000000" w:rsidRPr="00000000" w14:paraId="0000007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в целях предоставления права на освобождение от работы на два рабочих дня один раз в год с сохранением места работы (должности) и среднего заработка работникам, предпенсионного возраста, и работникам, являющимися получателями пенсии по старости или пенсии за выслугу лет (далее - Получатель пенсии) при прохождении диспансеризации в порядке, предусмотренном законодательством Российской Федерации в сфере охраны здоровья.</w:t>
      </w:r>
    </w:p>
    <w:p w:rsidR="00000000" w:rsidDel="00000000" w:rsidP="00000000" w:rsidRDefault="00000000" w:rsidRPr="00000000" w14:paraId="0000008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15. Татьяна А. </w:t>
      </w:r>
    </w:p>
    <w:p w:rsidR="00000000" w:rsidDel="00000000" w:rsidP="00000000" w:rsidRDefault="00000000" w:rsidRPr="00000000" w14:paraId="0000008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Подскажите, НКО решила заниматься деятельностью, приносящей доход, нужно ли в таком случае создавать уставный капитал?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НКО получает пожертвования через яндекс касса на сайте от ФЛ. Нужен ли в таком случае , использовать ККТ?</w:t>
      </w:r>
    </w:p>
    <w:p w:rsidR="00000000" w:rsidDel="00000000" w:rsidP="00000000" w:rsidRDefault="00000000" w:rsidRPr="00000000" w14:paraId="00000085">
      <w:p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16. Наталья 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СОУТ, как пройти с меньшими потерями времени и денег? Как проходят рабочие места на территории других учреждений - няни в больницах , например , и раб места на дому (удаленные).</w:t>
      </w:r>
    </w:p>
    <w:p w:rsidR="00000000" w:rsidDel="00000000" w:rsidP="00000000" w:rsidRDefault="00000000" w:rsidRPr="00000000" w14:paraId="0000008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17. Екатерина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Обязательно ли дистанционному сотруднику иметь усиленную электронную подпись или можно прописать в договоре, что сотрудник 1 раз в неделю привозит разработанные им документы в офис?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18. Ольга М. </w:t>
      </w:r>
    </w:p>
    <w:p w:rsidR="00000000" w:rsidDel="00000000" w:rsidP="00000000" w:rsidRDefault="00000000" w:rsidRPr="00000000" w14:paraId="0000008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Фонд, в рамках своей целевой программы поддержки безработной молодежи, перечисляет пожертвования физическим лицам. Оформляются договоры пожертвования, в которых оговорено, что НДФЛ удерживается и перечисляется самим Фондом, как налоговым агентом. Это правильно?</w:t>
      </w:r>
    </w:p>
    <w:p w:rsidR="00000000" w:rsidDel="00000000" w:rsidP="00000000" w:rsidRDefault="00000000" w:rsidRPr="00000000" w14:paraId="0000009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Фонд закупает и передает в школы робототехнику. Оформляет трехсторонние договоры пожертвования, в которых Фонд-Жертвователь, оплачивающий технику, а Школы - Получатели пожертвования. Должен ли Фонд приходовать эту технику, если поставщик напрямую передаёт ее в школы? Или достаточно только приложить накладную к учетным документам? Если вопрос трехсторонних договоров уже обсуждался в предыдущих вебинарах, дайте, пожалуйста, ссылку на этот вебинар.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134" w:left="1695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