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Вопросы к вебинару 14 июня 2019 г. (пятница)</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line="240" w:lineRule="auto"/>
        <w:jc w:val="both"/>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3">
      <w:pPr>
        <w:spacing w:after="0" w:line="24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1. Дмитрий (Влад С.)</w:t>
      </w:r>
    </w:p>
    <w:p w:rsidR="00000000" w:rsidDel="00000000" w:rsidP="00000000" w:rsidRDefault="00000000" w:rsidRPr="00000000" w14:paraId="00000004">
      <w:pPr>
        <w:spacing w:after="0" w:line="240" w:lineRule="auto"/>
        <w:jc w:val="both"/>
        <w:rPr>
          <w:rFonts w:ascii="Times New Roman" w:cs="Times New Roman" w:eastAsia="Times New Roman" w:hAnsi="Times New Roman"/>
          <w:sz w:val="36"/>
          <w:szCs w:val="36"/>
          <w:u w:val="single"/>
        </w:rPr>
      </w:pPr>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Fonts w:ascii="Times New Roman" w:cs="Times New Roman" w:eastAsia="Times New Roman" w:hAnsi="Times New Roman"/>
          <w:sz w:val="36"/>
          <w:szCs w:val="36"/>
          <w:highlight w:val="white"/>
          <w:rtl w:val="0"/>
        </w:rPr>
        <w:t xml:space="preserve"> </w:t>
      </w:r>
      <w:r w:rsidDel="00000000" w:rsidR="00000000" w:rsidRPr="00000000">
        <w:rPr>
          <w:rtl w:val="0"/>
        </w:rPr>
      </w:r>
    </w:p>
    <w:p w:rsidR="00000000" w:rsidDel="00000000" w:rsidP="00000000" w:rsidRDefault="00000000" w:rsidRPr="00000000" w14:paraId="00000005">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u w:val="single"/>
          <w:rtl w:val="0"/>
        </w:rPr>
        <w:t xml:space="preserve">1. О налогообложении передачи в доверительное управление свободных ден.средств поступлений </w:t>
      </w:r>
      <w:r w:rsidDel="00000000" w:rsidR="00000000" w:rsidRPr="00000000">
        <w:rPr>
          <w:rFonts w:ascii="Times New Roman" w:cs="Times New Roman" w:eastAsia="Times New Roman" w:hAnsi="Times New Roman"/>
          <w:sz w:val="36"/>
          <w:szCs w:val="36"/>
          <w:rtl w:val="0"/>
        </w:rPr>
        <w:t xml:space="preserve">на содержание НКО и ведение ими уставной деятельности</w:t>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Уставная (некоммерческая) деятельность финансируется за счет взносов плательщиков, не являющихся членами НКО, а также доходов от размещения временно свободных денежных средств (в силу прямого указания указанного источника в Уставе и Законе). Перечисляемые в фонд НКО взносы и иные платежи третьих лиц, не льготируются (поскольку не поименованы в перечне, приведенном в ст. 251 Налогового кодекса РФ). АНО при этом не вправе вести предпринимательскую деятельность (на основании прямого запрета в Уставе). </w:t>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Т.е. операции по размещению и инвестированию средств в активы (объекты инвестирования) на финансовом рынке соответствуют уставной деятельности АНО - как деятельность, направленная на сохранение денежных средств, в частности, в случае самостоятельного заключения депозитных договоров, приобретения (размещения денежных средств в) финансовых(е) активов(ы).</w:t>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При этом ни Законом, ни Уставом не установлено прямых ограничений для передачи средств фонда финансирования деятельности АНО в доверительное управление.</w:t>
      </w:r>
    </w:p>
    <w:p w:rsidR="00000000" w:rsidDel="00000000" w:rsidP="00000000" w:rsidRDefault="00000000" w:rsidRPr="00000000" w14:paraId="00000009">
      <w:pPr>
        <w:spacing w:after="0" w:line="240" w:lineRule="auto"/>
        <w:jc w:val="both"/>
        <w:rPr>
          <w:rFonts w:ascii="Times New Roman" w:cs="Times New Roman" w:eastAsia="Times New Roman" w:hAnsi="Times New Roman"/>
          <w:i w:val="1"/>
          <w:sz w:val="36"/>
          <w:szCs w:val="36"/>
        </w:rPr>
      </w:pPr>
      <w:r w:rsidDel="00000000" w:rsidR="00000000" w:rsidRPr="00000000">
        <w:rPr>
          <w:rFonts w:ascii="Times New Roman" w:cs="Times New Roman" w:eastAsia="Times New Roman" w:hAnsi="Times New Roman"/>
          <w:i w:val="1"/>
          <w:sz w:val="36"/>
          <w:szCs w:val="36"/>
          <w:rtl w:val="0"/>
        </w:rPr>
        <w:t xml:space="preserve">Вместе с тем, согласно общей позиции Министерства финансов, изложенной в письме от 22.08.2016 № 03-03-06/3/48876, если некоммерческая организация передает в доверительное управление целевые поступления в порядке, отличном от порядка, предусмотренного Федеральным </w:t>
      </w:r>
      <w:hyperlink r:id="rId6">
        <w:r w:rsidDel="00000000" w:rsidR="00000000" w:rsidRPr="00000000">
          <w:rPr>
            <w:rFonts w:ascii="Times New Roman" w:cs="Times New Roman" w:eastAsia="Times New Roman" w:hAnsi="Times New Roman"/>
            <w:i w:val="1"/>
            <w:sz w:val="36"/>
            <w:szCs w:val="36"/>
            <w:u w:val="single"/>
            <w:rtl w:val="0"/>
          </w:rPr>
          <w:t xml:space="preserve">законом</w:t>
        </w:r>
      </w:hyperlink>
      <w:r w:rsidDel="00000000" w:rsidR="00000000" w:rsidRPr="00000000">
        <w:rPr>
          <w:rFonts w:ascii="Times New Roman" w:cs="Times New Roman" w:eastAsia="Times New Roman" w:hAnsi="Times New Roman"/>
          <w:i w:val="1"/>
          <w:sz w:val="36"/>
          <w:szCs w:val="36"/>
          <w:rtl w:val="0"/>
        </w:rPr>
        <w:t xml:space="preserve"> от 30 декабря 2006 года № 275-ФЗ "О порядке формирования и использования целевого капитала некоммерческих организаций" (далее – Закон № 275-ФЗ), то указанная передача влечет последствия, предусмотренные </w:t>
      </w:r>
      <w:hyperlink r:id="rId7">
        <w:r w:rsidDel="00000000" w:rsidR="00000000" w:rsidRPr="00000000">
          <w:rPr>
            <w:rFonts w:ascii="Times New Roman" w:cs="Times New Roman" w:eastAsia="Times New Roman" w:hAnsi="Times New Roman"/>
            <w:i w:val="1"/>
            <w:sz w:val="36"/>
            <w:szCs w:val="36"/>
            <w:u w:val="single"/>
            <w:rtl w:val="0"/>
          </w:rPr>
          <w:t xml:space="preserve">пунктом 14 статьи 250</w:t>
        </w:r>
      </w:hyperlink>
      <w:r w:rsidDel="00000000" w:rsidR="00000000" w:rsidRPr="00000000">
        <w:rPr>
          <w:rFonts w:ascii="Times New Roman" w:cs="Times New Roman" w:eastAsia="Times New Roman" w:hAnsi="Times New Roman"/>
          <w:i w:val="1"/>
          <w:sz w:val="36"/>
          <w:szCs w:val="36"/>
          <w:rtl w:val="0"/>
        </w:rPr>
        <w:t xml:space="preserve"> Налогового кодекса Российской Федерации. То есть учитывается в полном объеме при определении налоговой базы по налогу на прибыль организаций, как имущество использованное не по целевому назначению. При этом, по мнению Минфина, иных способов передачи некоммерческой организацией целевых поступлений (кроме созданного целевого капитала, в порядке, установленном </w:t>
      </w:r>
      <w:hyperlink r:id="rId8">
        <w:r w:rsidDel="00000000" w:rsidR="00000000" w:rsidRPr="00000000">
          <w:rPr>
            <w:rFonts w:ascii="Times New Roman" w:cs="Times New Roman" w:eastAsia="Times New Roman" w:hAnsi="Times New Roman"/>
            <w:i w:val="1"/>
            <w:sz w:val="36"/>
            <w:szCs w:val="36"/>
            <w:u w:val="single"/>
            <w:rtl w:val="0"/>
          </w:rPr>
          <w:t xml:space="preserve">Законом</w:t>
        </w:r>
      </w:hyperlink>
      <w:r w:rsidDel="00000000" w:rsidR="00000000" w:rsidRPr="00000000">
        <w:rPr>
          <w:rFonts w:ascii="Times New Roman" w:cs="Times New Roman" w:eastAsia="Times New Roman" w:hAnsi="Times New Roman"/>
          <w:i w:val="1"/>
          <w:sz w:val="36"/>
          <w:szCs w:val="36"/>
          <w:rtl w:val="0"/>
        </w:rPr>
        <w:t xml:space="preserve"> № 275-ФЗ) в доверительное управление не предусмотрено.</w:t>
      </w:r>
    </w:p>
    <w:p w:rsidR="00000000" w:rsidDel="00000000" w:rsidP="00000000" w:rsidRDefault="00000000" w:rsidRPr="00000000" w14:paraId="0000000A">
      <w:pPr>
        <w:spacing w:after="0" w:line="240" w:lineRule="auto"/>
        <w:jc w:val="both"/>
        <w:rPr>
          <w:rFonts w:ascii="Times New Roman" w:cs="Times New Roman" w:eastAsia="Times New Roman" w:hAnsi="Times New Roman"/>
          <w:i w:val="1"/>
          <w:sz w:val="36"/>
          <w:szCs w:val="36"/>
        </w:rPr>
      </w:pPr>
      <w:r w:rsidDel="00000000" w:rsidR="00000000" w:rsidRPr="00000000">
        <w:rPr>
          <w:rFonts w:ascii="Times New Roman" w:cs="Times New Roman" w:eastAsia="Times New Roman" w:hAnsi="Times New Roman"/>
          <w:i w:val="1"/>
          <w:sz w:val="36"/>
          <w:szCs w:val="36"/>
          <w:rtl w:val="0"/>
        </w:rPr>
        <w:t xml:space="preserve">В связи с чем, возникают следующие вопросы:</w:t>
      </w:r>
    </w:p>
    <w:p w:rsidR="00000000" w:rsidDel="00000000" w:rsidP="00000000" w:rsidRDefault="00000000" w:rsidRPr="00000000" w14:paraId="0000000B">
      <w:pPr>
        <w:spacing w:after="0" w:line="240" w:lineRule="auto"/>
        <w:jc w:val="both"/>
        <w:rPr>
          <w:rFonts w:ascii="Times New Roman" w:cs="Times New Roman" w:eastAsia="Times New Roman" w:hAnsi="Times New Roman"/>
          <w:i w:val="1"/>
          <w:sz w:val="36"/>
          <w:szCs w:val="36"/>
        </w:rPr>
      </w:pPr>
      <w:r w:rsidDel="00000000" w:rsidR="00000000" w:rsidRPr="00000000">
        <w:rPr>
          <w:rFonts w:ascii="Times New Roman" w:cs="Times New Roman" w:eastAsia="Times New Roman" w:hAnsi="Times New Roman"/>
          <w:i w:val="1"/>
          <w:sz w:val="36"/>
          <w:szCs w:val="36"/>
          <w:rtl w:val="0"/>
        </w:rPr>
        <w:t xml:space="preserve">1) Признаётся ли в нашем случае предпринимательской (не связанной уставной некоммерческой) деятельностью операции по размещению свободных денежных средств на финансовом рынке путем </w:t>
      </w:r>
      <w:r w:rsidDel="00000000" w:rsidR="00000000" w:rsidRPr="00000000">
        <w:rPr>
          <w:rFonts w:ascii="Times New Roman" w:cs="Times New Roman" w:eastAsia="Times New Roman" w:hAnsi="Times New Roman"/>
          <w:i w:val="1"/>
          <w:sz w:val="36"/>
          <w:szCs w:val="36"/>
          <w:u w:val="single"/>
          <w:rtl w:val="0"/>
        </w:rPr>
        <w:t xml:space="preserve">передачи в доверительное управление</w:t>
      </w:r>
      <w:r w:rsidDel="00000000" w:rsidR="00000000" w:rsidRPr="00000000">
        <w:rPr>
          <w:rFonts w:ascii="Times New Roman" w:cs="Times New Roman" w:eastAsia="Times New Roman" w:hAnsi="Times New Roman"/>
          <w:i w:val="1"/>
          <w:sz w:val="36"/>
          <w:szCs w:val="36"/>
          <w:rtl w:val="0"/>
        </w:rPr>
        <w:t xml:space="preserve"> (т.е. не самостоятельно АНО, а через третьих лиц).</w:t>
      </w:r>
    </w:p>
    <w:p w:rsidR="00000000" w:rsidDel="00000000" w:rsidP="00000000" w:rsidRDefault="00000000" w:rsidRPr="00000000" w14:paraId="0000000C">
      <w:pPr>
        <w:spacing w:after="0" w:line="240" w:lineRule="auto"/>
        <w:jc w:val="both"/>
        <w:rPr>
          <w:rFonts w:ascii="Times New Roman" w:cs="Times New Roman" w:eastAsia="Times New Roman" w:hAnsi="Times New Roman"/>
          <w:i w:val="1"/>
          <w:sz w:val="36"/>
          <w:szCs w:val="36"/>
        </w:rPr>
      </w:pPr>
      <w:r w:rsidDel="00000000" w:rsidR="00000000" w:rsidRPr="00000000">
        <w:rPr>
          <w:rFonts w:ascii="Times New Roman" w:cs="Times New Roman" w:eastAsia="Times New Roman" w:hAnsi="Times New Roman"/>
          <w:i w:val="1"/>
          <w:sz w:val="36"/>
          <w:szCs w:val="36"/>
          <w:rtl w:val="0"/>
        </w:rPr>
        <w:t xml:space="preserve">Например, по такому критерию, как осуществление расходов, направленных на получение доходов (следует из писем Минфина от 22.06.2009 N 03-03-06/4/48, от 02.02.2015 N 03-03-06/1/3926, от 01.08.2013 N 03-03-06/4/30833).</w:t>
      </w:r>
    </w:p>
    <w:p w:rsidR="00000000" w:rsidDel="00000000" w:rsidP="00000000" w:rsidRDefault="00000000" w:rsidRPr="00000000" w14:paraId="0000000D">
      <w:pPr>
        <w:spacing w:after="0" w:line="240" w:lineRule="auto"/>
        <w:jc w:val="both"/>
        <w:rPr>
          <w:rFonts w:ascii="Times New Roman" w:cs="Times New Roman" w:eastAsia="Times New Roman" w:hAnsi="Times New Roman"/>
          <w:i w:val="1"/>
          <w:sz w:val="36"/>
          <w:szCs w:val="36"/>
        </w:rPr>
      </w:pPr>
      <w:r w:rsidDel="00000000" w:rsidR="00000000" w:rsidRPr="00000000">
        <w:rPr>
          <w:rFonts w:ascii="Times New Roman" w:cs="Times New Roman" w:eastAsia="Times New Roman" w:hAnsi="Times New Roman"/>
          <w:i w:val="1"/>
          <w:sz w:val="36"/>
          <w:szCs w:val="36"/>
          <w:rtl w:val="0"/>
        </w:rPr>
        <w:t xml:space="preserve">2) Возникает ли в нашей ситуации (с учетом спорной позиции Минфина в части ДУ) риск применения последствий нецелевого использования (</w:t>
      </w:r>
      <w:r w:rsidDel="00000000" w:rsidR="00000000" w:rsidRPr="00000000">
        <w:rPr>
          <w:rFonts w:ascii="Times New Roman" w:cs="Times New Roman" w:eastAsia="Times New Roman" w:hAnsi="Times New Roman"/>
          <w:i w:val="1"/>
          <w:sz w:val="36"/>
          <w:szCs w:val="36"/>
          <w:u w:val="single"/>
          <w:rtl w:val="0"/>
        </w:rPr>
        <w:t xml:space="preserve">включение в налоговую базу в</w:t>
      </w:r>
      <w:r w:rsidDel="00000000" w:rsidR="00000000" w:rsidRPr="00000000">
        <w:rPr>
          <w:rFonts w:ascii="Times New Roman" w:cs="Times New Roman" w:eastAsia="Times New Roman" w:hAnsi="Times New Roman"/>
          <w:sz w:val="36"/>
          <w:szCs w:val="36"/>
          <w:u w:val="single"/>
          <w:rtl w:val="0"/>
        </w:rPr>
        <w:t xml:space="preserve"> соответствии с п. 14 ст. 250 НК РФ</w:t>
      </w:r>
      <w:r w:rsidDel="00000000" w:rsidR="00000000" w:rsidRPr="00000000">
        <w:rPr>
          <w:rFonts w:ascii="Times New Roman" w:cs="Times New Roman" w:eastAsia="Times New Roman" w:hAnsi="Times New Roman"/>
          <w:i w:val="1"/>
          <w:sz w:val="36"/>
          <w:szCs w:val="36"/>
          <w:rtl w:val="0"/>
        </w:rPr>
        <w:t xml:space="preserve">) несмотря на то, что облагаемые налогом на прибыль поступления на содержание НКО и ведение ими уставной деятельности не являются "целевым финансированием, целевым поступлением" согласно п. 2 ст. 251 НК РФ?</w:t>
      </w:r>
    </w:p>
    <w:p w:rsidR="00000000" w:rsidDel="00000000" w:rsidP="00000000" w:rsidRDefault="00000000" w:rsidRPr="00000000" w14:paraId="0000000E">
      <w:pPr>
        <w:spacing w:after="0" w:line="240" w:lineRule="auto"/>
        <w:jc w:val="both"/>
        <w:rPr>
          <w:rFonts w:ascii="Times New Roman" w:cs="Times New Roman" w:eastAsia="Times New Roman" w:hAnsi="Times New Roman"/>
          <w:i w:val="1"/>
          <w:sz w:val="36"/>
          <w:szCs w:val="36"/>
        </w:rPr>
      </w:pPr>
      <w:r w:rsidDel="00000000" w:rsidR="00000000" w:rsidRPr="00000000">
        <w:rPr>
          <w:rFonts w:ascii="Times New Roman" w:cs="Times New Roman" w:eastAsia="Times New Roman" w:hAnsi="Times New Roman"/>
          <w:i w:val="1"/>
          <w:sz w:val="36"/>
          <w:szCs w:val="36"/>
          <w:rtl w:val="0"/>
        </w:rPr>
        <w:t xml:space="preserve">- а именно: вся сумма свободных денежных средств фонда, сформированного за счет указанных </w:t>
      </w:r>
      <w:r w:rsidDel="00000000" w:rsidR="00000000" w:rsidRPr="00000000">
        <w:rPr>
          <w:rFonts w:ascii="Times New Roman" w:cs="Times New Roman" w:eastAsia="Times New Roman" w:hAnsi="Times New Roman"/>
          <w:i w:val="1"/>
          <w:sz w:val="36"/>
          <w:szCs w:val="36"/>
          <w:u w:val="single"/>
          <w:rtl w:val="0"/>
        </w:rPr>
        <w:t xml:space="preserve">налогооблагаемых </w:t>
      </w:r>
      <w:r w:rsidDel="00000000" w:rsidR="00000000" w:rsidRPr="00000000">
        <w:rPr>
          <w:rFonts w:ascii="Times New Roman" w:cs="Times New Roman" w:eastAsia="Times New Roman" w:hAnsi="Times New Roman"/>
          <w:i w:val="1"/>
          <w:sz w:val="36"/>
          <w:szCs w:val="36"/>
          <w:rtl w:val="0"/>
        </w:rPr>
        <w:t xml:space="preserve">поступлений (на содержание НКО и ведение ими уставной деятельности), переданных для размещения/инвестирования средств в доверительное управление (сверх налогообложения полученных процентных доходов и положительной разницы прироста стоимости финансовых активов), подпадёт под налогообложение налогом на прибыль вторично?</w:t>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36"/>
          <w:szCs w:val="36"/>
          <w:u w:val="single"/>
        </w:rPr>
      </w:pPr>
      <w:r w:rsidDel="00000000" w:rsidR="00000000" w:rsidRPr="00000000">
        <w:rPr>
          <w:rFonts w:ascii="Times New Roman" w:cs="Times New Roman" w:eastAsia="Times New Roman" w:hAnsi="Times New Roman"/>
          <w:sz w:val="36"/>
          <w:szCs w:val="36"/>
          <w:u w:val="single"/>
          <w:rtl w:val="0"/>
        </w:rPr>
        <w:t xml:space="preserve">2. Об учете налогообложения операций получения АНО имущества в безвозмездное пользование от учредителя</w:t>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У</w:t>
      </w:r>
      <w:r w:rsidDel="00000000" w:rsidR="00000000" w:rsidRPr="00000000">
        <w:rPr>
          <w:rFonts w:ascii="Times New Roman" w:cs="Times New Roman" w:eastAsia="Times New Roman" w:hAnsi="Times New Roman"/>
          <w:sz w:val="36"/>
          <w:szCs w:val="36"/>
          <w:rtl w:val="0"/>
        </w:rPr>
        <w:t xml:space="preserve">чредитель АНО передал в безвозмездное пользование движимое и недвижимое имущество на основании договора. АНО </w:t>
      </w:r>
      <w:r w:rsidDel="00000000" w:rsidR="00000000" w:rsidRPr="00000000">
        <w:rPr>
          <w:rFonts w:ascii="Times New Roman" w:cs="Times New Roman" w:eastAsia="Times New Roman" w:hAnsi="Times New Roman"/>
          <w:sz w:val="36"/>
          <w:szCs w:val="36"/>
          <w:u w:val="single"/>
          <w:rtl w:val="0"/>
        </w:rPr>
        <w:t xml:space="preserve">не вправе</w:t>
      </w:r>
      <w:r w:rsidDel="00000000" w:rsidR="00000000" w:rsidRPr="00000000">
        <w:rPr>
          <w:rFonts w:ascii="Times New Roman" w:cs="Times New Roman" w:eastAsia="Times New Roman" w:hAnsi="Times New Roman"/>
          <w:sz w:val="36"/>
          <w:szCs w:val="36"/>
          <w:rtl w:val="0"/>
        </w:rPr>
        <w:t xml:space="preserve"> вести предпринимательскую деятельность (на основании прямого запрета в Уставе). Согласно п.8. ст. 250 НК использование юридическими лицами, полученного по договору безвозмездного пользования имущества (кроме государственного или муниципального) признается внереализационным доходом налогоплательщика в виде безвозмездно полученных имущественных прав пользования. Оценка доходов осуществляется исходя из рыночных цен на аренду идентичного имущества информация о которых должна быть подтверждена налогоплательщиком – выгодоприобретателем документально или путем проведения независимой оценки.</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Основание: </w:t>
      </w:r>
      <w:hyperlink r:id="rId9">
        <w:r w:rsidDel="00000000" w:rsidR="00000000" w:rsidRPr="00000000">
          <w:rPr>
            <w:rFonts w:ascii="Times New Roman" w:cs="Times New Roman" w:eastAsia="Times New Roman" w:hAnsi="Times New Roman"/>
            <w:sz w:val="36"/>
            <w:szCs w:val="36"/>
            <w:u w:val="single"/>
            <w:rtl w:val="0"/>
          </w:rPr>
          <w:t xml:space="preserve">пункт 8 ст. 250</w:t>
        </w:r>
      </w:hyperlink>
      <w:r w:rsidDel="00000000" w:rsidR="00000000" w:rsidRPr="00000000">
        <w:rPr>
          <w:rFonts w:ascii="Times New Roman" w:cs="Times New Roman" w:eastAsia="Times New Roman" w:hAnsi="Times New Roman"/>
          <w:sz w:val="36"/>
          <w:szCs w:val="36"/>
          <w:rtl w:val="0"/>
        </w:rPr>
        <w:t xml:space="preserve"> НК РФ, </w:t>
      </w:r>
      <w:r w:rsidDel="00000000" w:rsidR="00000000" w:rsidRPr="00000000">
        <w:rPr>
          <w:rFonts w:ascii="Times New Roman" w:cs="Times New Roman" w:eastAsia="Times New Roman" w:hAnsi="Times New Roman"/>
          <w:sz w:val="36"/>
          <w:szCs w:val="36"/>
          <w:rtl w:val="0"/>
        </w:rPr>
        <w:t xml:space="preserve">подпункт 16 пункта 2</w:t>
      </w:r>
      <w:r w:rsidDel="00000000" w:rsidR="00000000" w:rsidRPr="00000000">
        <w:rPr>
          <w:rFonts w:ascii="Times New Roman" w:cs="Times New Roman" w:eastAsia="Times New Roman" w:hAnsi="Times New Roman"/>
          <w:sz w:val="36"/>
          <w:szCs w:val="36"/>
          <w:rtl w:val="0"/>
        </w:rPr>
        <w:t xml:space="preserve"> </w:t>
      </w:r>
      <w:hyperlink r:id="rId10">
        <w:r w:rsidDel="00000000" w:rsidR="00000000" w:rsidRPr="00000000">
          <w:rPr>
            <w:rFonts w:ascii="Times New Roman" w:cs="Times New Roman" w:eastAsia="Times New Roman" w:hAnsi="Times New Roman"/>
            <w:sz w:val="36"/>
            <w:szCs w:val="36"/>
            <w:u w:val="single"/>
            <w:rtl w:val="0"/>
          </w:rPr>
          <w:t xml:space="preserve">ст. 251</w:t>
        </w:r>
      </w:hyperlink>
      <w:r w:rsidDel="00000000" w:rsidR="00000000" w:rsidRPr="00000000">
        <w:rPr>
          <w:rFonts w:ascii="Times New Roman" w:cs="Times New Roman" w:eastAsia="Times New Roman" w:hAnsi="Times New Roman"/>
          <w:sz w:val="36"/>
          <w:szCs w:val="36"/>
          <w:rtl w:val="0"/>
        </w:rPr>
        <w:t xml:space="preserve"> НК РФ, </w:t>
      </w:r>
      <w:hyperlink r:id="rId11">
        <w:r w:rsidDel="00000000" w:rsidR="00000000" w:rsidRPr="00000000">
          <w:rPr>
            <w:rFonts w:ascii="Times New Roman" w:cs="Times New Roman" w:eastAsia="Times New Roman" w:hAnsi="Times New Roman"/>
            <w:sz w:val="36"/>
            <w:szCs w:val="36"/>
            <w:u w:val="single"/>
            <w:rtl w:val="0"/>
          </w:rPr>
          <w:t xml:space="preserve">пункт 2 ст. 248</w:t>
        </w:r>
      </w:hyperlink>
      <w:r w:rsidDel="00000000" w:rsidR="00000000" w:rsidRPr="00000000">
        <w:rPr>
          <w:rFonts w:ascii="Times New Roman" w:cs="Times New Roman" w:eastAsia="Times New Roman" w:hAnsi="Times New Roman"/>
          <w:sz w:val="36"/>
          <w:szCs w:val="36"/>
          <w:rtl w:val="0"/>
        </w:rPr>
        <w:t xml:space="preserve"> НК РФ, </w:t>
      </w:r>
      <w:hyperlink r:id="rId12">
        <w:r w:rsidDel="00000000" w:rsidR="00000000" w:rsidRPr="00000000">
          <w:rPr>
            <w:rFonts w:ascii="Times New Roman" w:cs="Times New Roman" w:eastAsia="Times New Roman" w:hAnsi="Times New Roman"/>
            <w:sz w:val="36"/>
            <w:szCs w:val="36"/>
            <w:u w:val="single"/>
            <w:rtl w:val="0"/>
          </w:rPr>
          <w:t xml:space="preserve">пункт 2</w:t>
        </w:r>
      </w:hyperlink>
      <w:r w:rsidDel="00000000" w:rsidR="00000000" w:rsidRPr="00000000">
        <w:rPr>
          <w:rFonts w:ascii="Times New Roman" w:cs="Times New Roman" w:eastAsia="Times New Roman" w:hAnsi="Times New Roman"/>
          <w:sz w:val="36"/>
          <w:szCs w:val="36"/>
          <w:rtl w:val="0"/>
        </w:rPr>
        <w:t xml:space="preserve"> информационного письма Президиума ВАС РФ от 22.12.2005 N 98.</w:t>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w:t>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Как отразить в смете АНО, бухучёте и отчётности о целевом использовании средств источник для уплаты налога на прибыль организаций с внереализационных доходов в виде полученного имущественного права, в случае отсутствия у АНО доходов от предпринимательской и иной приносящей доход деятельности для покрытия этих расходов ?</w:t>
      </w:r>
    </w:p>
    <w:p w:rsidR="00000000" w:rsidDel="00000000" w:rsidP="00000000" w:rsidRDefault="00000000" w:rsidRPr="00000000" w14:paraId="00000015">
      <w:pPr>
        <w:spacing w:after="0" w:line="240" w:lineRule="auto"/>
        <w:jc w:val="both"/>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2. Надежда П.</w:t>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color w:val="ff00ff"/>
          <w:sz w:val="36"/>
          <w:szCs w:val="36"/>
          <w:rtl w:val="0"/>
        </w:rPr>
        <w:t xml:space="preserve">Шаронова</w:t>
      </w:r>
      <w:r w:rsidDel="00000000" w:rsidR="00000000" w:rsidRPr="00000000">
        <w:rPr>
          <w:rtl w:val="0"/>
        </w:rPr>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Организация является НКО, финансирование было из субсидии Пермского края, т.е это было целевое финансирование, не облагаемое УСН; сейчас для финансирования этой же деятельности, которая субсидировалась из бюджета, приходится участвовать в конкурентных закупках на электронных площадках-аукционы, запрос котировок. Если мы становимся победителями, с нами заключают договор заказчики - тот же самый бюджетный источник.</w:t>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Значит ли что мы должны ТЕПЕРЬ при получении денежных средств после исполнения договора нами как исполнителем платить УСН?</w:t>
      </w:r>
      <w:r w:rsidDel="00000000" w:rsidR="00000000" w:rsidRPr="00000000">
        <w:rPr>
          <w:rtl w:val="0"/>
        </w:rPr>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1B">
      <w:pPr>
        <w:spacing w:after="0" w:line="240" w:lineRule="auto"/>
        <w:jc w:val="both"/>
        <w:rPr>
          <w:rFonts w:ascii="Times New Roman" w:cs="Times New Roman" w:eastAsia="Times New Roman" w:hAnsi="Times New Roman"/>
          <w:b w:val="1"/>
          <w:sz w:val="36"/>
          <w:szCs w:val="36"/>
          <w:highlight w:val="white"/>
        </w:rPr>
      </w:pPr>
      <w:r w:rsidDel="00000000" w:rsidR="00000000" w:rsidRPr="00000000">
        <w:rPr>
          <w:rFonts w:ascii="Times New Roman" w:cs="Times New Roman" w:eastAsia="Times New Roman" w:hAnsi="Times New Roman"/>
          <w:b w:val="1"/>
          <w:sz w:val="36"/>
          <w:szCs w:val="36"/>
          <w:highlight w:val="white"/>
          <w:rtl w:val="0"/>
        </w:rPr>
        <w:t xml:space="preserve">3. Нина Георгиевна П.</w:t>
      </w:r>
    </w:p>
    <w:p w:rsidR="00000000" w:rsidDel="00000000" w:rsidP="00000000" w:rsidRDefault="00000000" w:rsidRPr="00000000" w14:paraId="0000001C">
      <w:pPr>
        <w:spacing w:after="0" w:line="240" w:lineRule="auto"/>
        <w:jc w:val="both"/>
        <w:rPr>
          <w:rFonts w:ascii="Times New Roman" w:cs="Times New Roman" w:eastAsia="Times New Roman" w:hAnsi="Times New Roman"/>
          <w:color w:val="ff00ff"/>
          <w:sz w:val="36"/>
          <w:szCs w:val="36"/>
        </w:rPr>
      </w:pPr>
      <w:r w:rsidDel="00000000" w:rsidR="00000000" w:rsidRPr="00000000">
        <w:rPr>
          <w:rFonts w:ascii="Times New Roman" w:cs="Times New Roman" w:eastAsia="Times New Roman" w:hAnsi="Times New Roman"/>
          <w:b w:val="1"/>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Некоммерческое партнерство в 1 квартале выплатило гонорары авторам. С гражданина Белоруссии, который живет и работает в Белоруссии,  ошибочно был удержан НДФЛ в размере 13%., а не 30%, как с нерезидента. Был сдан отчет 6-НДФЛ за 1 квартал. Эта ошибка обнаружилась сейчас, нужно ли сдать 6-НДФЛ за 1 квартал корректировочный и показать неудержанный НДФЛ в размере ( 30%- 13%)?</w:t>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Нужно  ли заплатить сейчас, с уплатой пени, недоплаченный НДФЛ?  Или отчитаться по 6 -НДФЛ и 2 -НДФЛ и показать неудержанный налог?</w:t>
      </w:r>
    </w:p>
    <w:p w:rsidR="00000000" w:rsidDel="00000000" w:rsidP="00000000" w:rsidRDefault="00000000" w:rsidRPr="00000000" w14:paraId="0000001F">
      <w:pPr>
        <w:spacing w:after="0" w:line="240" w:lineRule="auto"/>
        <w:jc w:val="both"/>
        <w:rPr>
          <w:rFonts w:ascii="Times New Roman" w:cs="Times New Roman" w:eastAsia="Times New Roman" w:hAnsi="Times New Roman"/>
          <w:b w:val="1"/>
          <w:sz w:val="36"/>
          <w:szCs w:val="36"/>
          <w:highlight w:val="white"/>
        </w:rPr>
      </w:pPr>
      <w:r w:rsidDel="00000000" w:rsidR="00000000" w:rsidRPr="00000000">
        <w:rPr>
          <w:rFonts w:ascii="Times New Roman" w:cs="Times New Roman" w:eastAsia="Times New Roman" w:hAnsi="Times New Roman"/>
          <w:b w:val="1"/>
          <w:sz w:val="36"/>
          <w:szCs w:val="36"/>
          <w:rtl w:val="0"/>
        </w:rPr>
        <w:t xml:space="preserve">4. </w:t>
      </w:r>
      <w:r w:rsidDel="00000000" w:rsidR="00000000" w:rsidRPr="00000000">
        <w:rPr>
          <w:rFonts w:ascii="Times New Roman" w:cs="Times New Roman" w:eastAsia="Times New Roman" w:hAnsi="Times New Roman"/>
          <w:b w:val="1"/>
          <w:sz w:val="36"/>
          <w:szCs w:val="36"/>
          <w:highlight w:val="white"/>
          <w:rtl w:val="0"/>
        </w:rPr>
        <w:t xml:space="preserve">Татьяна Ш.</w:t>
      </w:r>
    </w:p>
    <w:p w:rsidR="00000000" w:rsidDel="00000000" w:rsidP="00000000" w:rsidRDefault="00000000" w:rsidRPr="00000000" w14:paraId="00000020">
      <w:pPr>
        <w:spacing w:after="0" w:line="240" w:lineRule="auto"/>
        <w:jc w:val="both"/>
        <w:rPr>
          <w:rFonts w:ascii="Times New Roman" w:cs="Times New Roman" w:eastAsia="Times New Roman" w:hAnsi="Times New Roman"/>
          <w:b w:val="1"/>
          <w:color w:val="ffff00"/>
          <w:sz w:val="36"/>
          <w:szCs w:val="36"/>
        </w:rPr>
      </w:pPr>
      <w:r w:rsidDel="00000000" w:rsidR="00000000" w:rsidRPr="00000000">
        <w:rPr>
          <w:rFonts w:ascii="Times New Roman" w:cs="Times New Roman" w:eastAsia="Times New Roman" w:hAnsi="Times New Roman"/>
          <w:b w:val="1"/>
          <w:color w:val="ffff00"/>
          <w:sz w:val="36"/>
          <w:szCs w:val="36"/>
          <w:rtl w:val="0"/>
        </w:rPr>
        <w:t xml:space="preserve">САВКОВА</w:t>
      </w:r>
    </w:p>
    <w:p w:rsidR="00000000" w:rsidDel="00000000" w:rsidP="00000000" w:rsidRDefault="00000000" w:rsidRPr="00000000" w14:paraId="00000021">
      <w:pPr>
        <w:spacing w:after="0" w:line="240" w:lineRule="auto"/>
        <w:ind w:left="0" w:firstLine="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Некоммерческая общественная организация, применяющая УСН "Доходы", в мае заключила агентский договор с принципалом по дополнительному профессиональному образованию, мы агенты-посредники. В этом же месяце получили аванс -вознаграждение от принципала. Сам процесс обучения завершиться в августе, следовательно отчет принципалу и выручка на счете 90 в бухгалтерском отчете отразиться в августе. До заключения агентских договоров организация предпринимательскую деятельность не вела и прочих  доходов не получала, были только поступления членских взносов и пожертвований на ведение уставной деятельности.</w:t>
      </w:r>
    </w:p>
    <w:p w:rsidR="00000000" w:rsidDel="00000000" w:rsidP="00000000" w:rsidRDefault="00000000" w:rsidRPr="00000000" w14:paraId="00000022">
      <w:pPr>
        <w:spacing w:after="0" w:line="240" w:lineRule="auto"/>
        <w:ind w:left="0" w:firstLine="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Вопрос.</w:t>
      </w:r>
    </w:p>
    <w:p w:rsidR="00000000" w:rsidDel="00000000" w:rsidP="00000000" w:rsidRDefault="00000000" w:rsidRPr="00000000" w14:paraId="00000023">
      <w:pPr>
        <w:spacing w:after="0" w:line="240" w:lineRule="auto"/>
        <w:ind w:left="0" w:firstLine="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1.Когда нужно начать вести раздельный учет расходов: 1- с начала года, 2- с мая в момент получения вознаграждения, 3 -  с августа, когда будет выручка на счете 90?</w:t>
      </w:r>
    </w:p>
    <w:p w:rsidR="00000000" w:rsidDel="00000000" w:rsidP="00000000" w:rsidRDefault="00000000" w:rsidRPr="00000000" w14:paraId="00000024">
      <w:pPr>
        <w:spacing w:after="0" w:line="240" w:lineRule="auto"/>
        <w:ind w:left="0" w:firstLine="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2. Нужен ли приказ о начале ведения раздельного учета расходов.</w:t>
      </w:r>
    </w:p>
    <w:p w:rsidR="00000000" w:rsidDel="00000000" w:rsidP="00000000" w:rsidRDefault="00000000" w:rsidRPr="00000000" w14:paraId="00000025">
      <w:pPr>
        <w:spacing w:after="0" w:line="240" w:lineRule="auto"/>
        <w:ind w:left="0" w:firstLine="0"/>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b w:val="1"/>
          <w:sz w:val="36"/>
          <w:szCs w:val="36"/>
          <w:highlight w:val="white"/>
        </w:rPr>
      </w:pPr>
      <w:r w:rsidDel="00000000" w:rsidR="00000000" w:rsidRPr="00000000">
        <w:rPr>
          <w:rFonts w:ascii="Times New Roman" w:cs="Times New Roman" w:eastAsia="Times New Roman" w:hAnsi="Times New Roman"/>
          <w:b w:val="1"/>
          <w:sz w:val="36"/>
          <w:szCs w:val="36"/>
          <w:highlight w:val="white"/>
          <w:rtl w:val="0"/>
        </w:rPr>
        <w:t xml:space="preserve">5. Марина С.</w:t>
      </w:r>
    </w:p>
    <w:p w:rsidR="00000000" w:rsidDel="00000000" w:rsidP="00000000" w:rsidRDefault="00000000" w:rsidRPr="00000000" w14:paraId="00000027">
      <w:pPr>
        <w:spacing w:after="0" w:line="240" w:lineRule="auto"/>
        <w:jc w:val="both"/>
        <w:rPr>
          <w:rFonts w:ascii="Times New Roman" w:cs="Times New Roman" w:eastAsia="Times New Roman" w:hAnsi="Times New Roman"/>
          <w:b w:val="1"/>
          <w:sz w:val="36"/>
          <w:szCs w:val="36"/>
          <w:highlight w:val="white"/>
        </w:rPr>
      </w:pPr>
      <w:r w:rsidDel="00000000" w:rsidR="00000000" w:rsidRPr="00000000">
        <w:rPr>
          <w:rFonts w:ascii="Times New Roman" w:cs="Times New Roman" w:eastAsia="Times New Roman" w:hAnsi="Times New Roman"/>
          <w:b w:val="1"/>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1. Состав бухгалтерской отчетности для НКО в 2019 году.</w:t>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2. Какие НКО вправе сдавать упрощенную бухгалтерскую отчетность.</w:t>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3. Состав обязательной налоговой отчетности для НКО на ОСНО (при каких условиях можно не сдавать Декларацию по налогу на имущество).</w:t>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4. Состав обязательной налоговой отчетности для НКО на УСНО.</w:t>
      </w:r>
    </w:p>
    <w:p w:rsidR="00000000" w:rsidDel="00000000" w:rsidP="00000000" w:rsidRDefault="00000000" w:rsidRPr="00000000" w14:paraId="0000002C">
      <w:pPr>
        <w:spacing w:after="0" w:line="240" w:lineRule="auto"/>
        <w:ind w:left="0" w:firstLine="0"/>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2D">
      <w:pPr>
        <w:spacing w:after="0" w:line="240" w:lineRule="auto"/>
        <w:ind w:left="0" w:firstLine="0"/>
        <w:jc w:val="both"/>
        <w:rPr>
          <w:rFonts w:ascii="Times New Roman" w:cs="Times New Roman" w:eastAsia="Times New Roman" w:hAnsi="Times New Roman"/>
          <w:b w:val="1"/>
          <w:sz w:val="36"/>
          <w:szCs w:val="36"/>
          <w:highlight w:val="white"/>
        </w:rPr>
      </w:pPr>
      <w:r w:rsidDel="00000000" w:rsidR="00000000" w:rsidRPr="00000000">
        <w:rPr>
          <w:rFonts w:ascii="Times New Roman" w:cs="Times New Roman" w:eastAsia="Times New Roman" w:hAnsi="Times New Roman"/>
          <w:b w:val="1"/>
          <w:sz w:val="36"/>
          <w:szCs w:val="36"/>
          <w:highlight w:val="white"/>
          <w:rtl w:val="0"/>
        </w:rPr>
        <w:t xml:space="preserve">6. Ольга Вячеславовна В.</w:t>
      </w:r>
    </w:p>
    <w:p w:rsidR="00000000" w:rsidDel="00000000" w:rsidP="00000000" w:rsidRDefault="00000000" w:rsidRPr="00000000" w14:paraId="0000002E">
      <w:pPr>
        <w:spacing w:after="0" w:line="240" w:lineRule="auto"/>
        <w:jc w:val="both"/>
        <w:rPr>
          <w:rFonts w:ascii="Times New Roman" w:cs="Times New Roman" w:eastAsia="Times New Roman" w:hAnsi="Times New Roman"/>
          <w:b w:val="1"/>
          <w:sz w:val="36"/>
          <w:szCs w:val="36"/>
          <w:highlight w:val="white"/>
        </w:rPr>
      </w:pPr>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Fonts w:ascii="Times New Roman" w:cs="Times New Roman" w:eastAsia="Times New Roman" w:hAnsi="Times New Roman"/>
          <w:sz w:val="36"/>
          <w:szCs w:val="36"/>
          <w:highlight w:val="white"/>
          <w:rtl w:val="0"/>
        </w:rPr>
        <w:t xml:space="preserve"> </w:t>
      </w:r>
      <w:r w:rsidDel="00000000" w:rsidR="00000000" w:rsidRPr="00000000">
        <w:rPr>
          <w:rtl w:val="0"/>
        </w:rPr>
      </w:r>
    </w:p>
    <w:p w:rsidR="00000000" w:rsidDel="00000000" w:rsidP="00000000" w:rsidRDefault="00000000" w:rsidRPr="00000000" w14:paraId="0000002F">
      <w:pPr>
        <w:spacing w:after="0" w:line="240" w:lineRule="auto"/>
        <w:ind w:left="0" w:firstLine="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Ассоциация, УСН 15%, коттеджный посёлок, приносящая доход деятельность = возмещение расходов за электроэнергию и т.п., иногда проценты по депозитам.</w:t>
      </w:r>
    </w:p>
    <w:p w:rsidR="00000000" w:rsidDel="00000000" w:rsidP="00000000" w:rsidRDefault="00000000" w:rsidRPr="00000000" w14:paraId="00000030">
      <w:pPr>
        <w:spacing w:after="0" w:line="240" w:lineRule="auto"/>
        <w:ind w:left="0" w:firstLine="0"/>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31">
      <w:pPr>
        <w:spacing w:after="0" w:line="240" w:lineRule="auto"/>
        <w:ind w:left="0" w:firstLine="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1. Вопрос- при возмещении расходов сначала производятся расходы, а только потом перечисляется возмещение. По окончанию года всегда бывает прибыль, но в за 1 квартал и обычно и за полугодие выходит убыток. То есть коммерческие расходы делаются за счет целевых взносов членов Ассоциации. Теоретически и за год может быть убыток. Как его тогда компенсировать, в том числе и минимальный единый налог?</w:t>
      </w:r>
    </w:p>
    <w:p w:rsidR="00000000" w:rsidDel="00000000" w:rsidP="00000000" w:rsidRDefault="00000000" w:rsidRPr="00000000" w14:paraId="00000032">
      <w:pPr>
        <w:spacing w:after="0" w:line="240" w:lineRule="auto"/>
        <w:ind w:left="0" w:firstLine="0"/>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33">
      <w:pPr>
        <w:spacing w:after="0" w:line="240" w:lineRule="auto"/>
        <w:ind w:left="0" w:firstLine="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2. Вопрос - о расчете отпускных. Обязательно для расчета отпуска использовать форму Т-60? Можно ли использовать просто обобщённые суммы за предыдущие 12 месяцев? В какой форме можно учесть индексацию для расчета отпускных? Если такая форма вообще есть, или в свободной форме, например, в формате бухгалтерской справки?</w:t>
      </w:r>
    </w:p>
    <w:p w:rsidR="00000000" w:rsidDel="00000000" w:rsidP="00000000" w:rsidRDefault="00000000" w:rsidRPr="00000000" w14:paraId="00000034">
      <w:pPr>
        <w:spacing w:after="0" w:line="240" w:lineRule="auto"/>
        <w:ind w:left="0" w:firstLine="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Кстати, об индексации - если увеличение окладов у всех происходит на один коэффициент, то только тогда это можно назвать индексацией и, только в этом случае учитывать индексацию при расчете отпускных? а если изменение зарплат у разных сотрудников происходит на разный коэффициент, то это не индексация, а пересмотр окладов и не учитывается при расчете отпускных.  </w:t>
      </w:r>
    </w:p>
    <w:p w:rsidR="00000000" w:rsidDel="00000000" w:rsidP="00000000" w:rsidRDefault="00000000" w:rsidRPr="00000000" w14:paraId="00000035">
      <w:pPr>
        <w:spacing w:after="0" w:line="240" w:lineRule="auto"/>
        <w:ind w:left="0" w:firstLine="0"/>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b w:val="1"/>
          <w:sz w:val="36"/>
          <w:szCs w:val="36"/>
          <w:highlight w:val="white"/>
        </w:rPr>
      </w:pPr>
      <w:r w:rsidDel="00000000" w:rsidR="00000000" w:rsidRPr="00000000">
        <w:rPr>
          <w:rFonts w:ascii="Times New Roman" w:cs="Times New Roman" w:eastAsia="Times New Roman" w:hAnsi="Times New Roman"/>
          <w:b w:val="1"/>
          <w:sz w:val="36"/>
          <w:szCs w:val="36"/>
          <w:highlight w:val="white"/>
          <w:rtl w:val="0"/>
        </w:rPr>
        <w:t xml:space="preserve">7. Инна С.</w:t>
      </w:r>
    </w:p>
    <w:p w:rsidR="00000000" w:rsidDel="00000000" w:rsidP="00000000" w:rsidRDefault="00000000" w:rsidRPr="00000000" w14:paraId="00000037">
      <w:pPr>
        <w:spacing w:after="0" w:line="240" w:lineRule="auto"/>
        <w:jc w:val="both"/>
        <w:rPr>
          <w:rFonts w:ascii="Times New Roman" w:cs="Times New Roman" w:eastAsia="Times New Roman" w:hAnsi="Times New Roman"/>
          <w:b w:val="1"/>
          <w:sz w:val="36"/>
          <w:szCs w:val="36"/>
          <w:highlight w:val="white"/>
        </w:rPr>
      </w:pPr>
      <w:r w:rsidDel="00000000" w:rsidR="00000000" w:rsidRPr="00000000">
        <w:rPr>
          <w:rFonts w:ascii="Times New Roman" w:cs="Times New Roman" w:eastAsia="Times New Roman" w:hAnsi="Times New Roman"/>
          <w:b w:val="1"/>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Вопрос касается пониженных тарифов по страховым взносам:</w:t>
      </w:r>
    </w:p>
    <w:p w:rsidR="00000000" w:rsidDel="00000000" w:rsidP="00000000" w:rsidRDefault="00000000" w:rsidRPr="00000000" w14:paraId="00000039">
      <w:pPr>
        <w:spacing w:after="0" w:line="240" w:lineRule="auto"/>
        <w:ind w:left="0" w:firstLine="0"/>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3A">
      <w:pPr>
        <w:spacing w:after="0" w:line="240" w:lineRule="auto"/>
        <w:ind w:left="0" w:firstLine="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НКО (общественный фонд, УСН) в соответствии с уставом осуществляет деятельность в области культуры согласно перечню видов деятельности, указанных в пп. 7 п. 1 ст. 427 НК РФ.</w:t>
      </w:r>
    </w:p>
    <w:p w:rsidR="00000000" w:rsidDel="00000000" w:rsidP="00000000" w:rsidRDefault="00000000" w:rsidRPr="00000000" w14:paraId="0000003B">
      <w:pPr>
        <w:spacing w:after="0" w:line="240" w:lineRule="auto"/>
        <w:ind w:left="0" w:firstLine="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В структуре доходов организации доходы от  предпринимательской деятельности (договора об оказании услуг в сфере культуры) составляет практически 100%.</w:t>
      </w:r>
    </w:p>
    <w:p w:rsidR="00000000" w:rsidDel="00000000" w:rsidP="00000000" w:rsidRDefault="00000000" w:rsidRPr="00000000" w14:paraId="0000003C">
      <w:pPr>
        <w:spacing w:after="0" w:line="240" w:lineRule="auto"/>
        <w:ind w:left="0" w:firstLine="0"/>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Может ли данное НКО на основании п. 7 ст. 427 НК РФ применять пониженные тарифы по страховым взносам?</w:t>
      </w:r>
    </w:p>
    <w:p w:rsidR="00000000" w:rsidDel="00000000" w:rsidP="00000000" w:rsidRDefault="00000000" w:rsidRPr="00000000" w14:paraId="0000003D">
      <w:pPr>
        <w:spacing w:after="0" w:line="240" w:lineRule="auto"/>
        <w:ind w:left="0" w:firstLine="0"/>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3E">
      <w:pPr>
        <w:spacing w:after="0" w:line="240" w:lineRule="auto"/>
        <w:jc w:val="both"/>
        <w:rPr>
          <w:rFonts w:ascii="Times New Roman" w:cs="Times New Roman" w:eastAsia="Times New Roman" w:hAnsi="Times New Roman"/>
          <w:b w:val="1"/>
          <w:sz w:val="36"/>
          <w:szCs w:val="36"/>
          <w:highlight w:val="white"/>
        </w:rPr>
      </w:pPr>
      <w:r w:rsidDel="00000000" w:rsidR="00000000" w:rsidRPr="00000000">
        <w:rPr>
          <w:rFonts w:ascii="Times New Roman" w:cs="Times New Roman" w:eastAsia="Times New Roman" w:hAnsi="Times New Roman"/>
          <w:b w:val="1"/>
          <w:sz w:val="36"/>
          <w:szCs w:val="36"/>
          <w:highlight w:val="white"/>
          <w:rtl w:val="0"/>
        </w:rPr>
        <w:t xml:space="preserve">8. Нэлля Г.</w:t>
      </w:r>
    </w:p>
    <w:p w:rsidR="00000000" w:rsidDel="00000000" w:rsidP="00000000" w:rsidRDefault="00000000" w:rsidRPr="00000000" w14:paraId="0000003F">
      <w:pPr>
        <w:spacing w:after="0" w:line="240" w:lineRule="auto"/>
        <w:jc w:val="both"/>
        <w:rPr>
          <w:rFonts w:ascii="Times New Roman" w:cs="Times New Roman" w:eastAsia="Times New Roman" w:hAnsi="Times New Roman"/>
          <w:b w:val="1"/>
          <w:sz w:val="36"/>
          <w:szCs w:val="36"/>
          <w:highlight w:val="white"/>
        </w:rPr>
      </w:pPr>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Fonts w:ascii="Times New Roman" w:cs="Times New Roman" w:eastAsia="Times New Roman" w:hAnsi="Times New Roman"/>
          <w:sz w:val="36"/>
          <w:szCs w:val="36"/>
          <w:highlight w:val="white"/>
          <w:rtl w:val="0"/>
        </w:rPr>
        <w:t xml:space="preserve"> </w:t>
      </w:r>
      <w:r w:rsidDel="00000000" w:rsidR="00000000" w:rsidRPr="00000000">
        <w:rPr>
          <w:rtl w:val="0"/>
        </w:rPr>
      </w:r>
    </w:p>
    <w:p w:rsidR="00000000" w:rsidDel="00000000" w:rsidP="00000000" w:rsidRDefault="00000000" w:rsidRPr="00000000" w14:paraId="00000040">
      <w:pPr>
        <w:spacing w:after="0" w:line="240" w:lineRule="auto"/>
        <w:jc w:val="both"/>
        <w:rPr>
          <w:rFonts w:ascii="Times New Roman" w:cs="Times New Roman" w:eastAsia="Times New Roman" w:hAnsi="Times New Roman"/>
          <w:b w:val="1"/>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Федеральный закон № 129-ФЗ от 06.06.2019 освободил от обязанности использовать ККТ при безналичных расчётах "образовательные организации при расчёте за образовательные услуги" с 07.06.2019. Т.е. мы можем просто перестать пробивать чеки? или надо это как-то оформить? Например, приказом.</w:t>
      </w:r>
      <w:r w:rsidDel="00000000" w:rsidR="00000000" w:rsidRPr="00000000">
        <w:rPr>
          <w:rtl w:val="0"/>
        </w:rPr>
      </w:r>
    </w:p>
    <w:p w:rsidR="00000000" w:rsidDel="00000000" w:rsidP="00000000" w:rsidRDefault="00000000" w:rsidRPr="00000000" w14:paraId="00000041">
      <w:pPr>
        <w:spacing w:after="0" w:line="240" w:lineRule="auto"/>
        <w:jc w:val="both"/>
        <w:rPr>
          <w:rFonts w:ascii="Times New Roman" w:cs="Times New Roman" w:eastAsia="Times New Roman" w:hAnsi="Times New Roman"/>
          <w:b w:val="1"/>
          <w:sz w:val="36"/>
          <w:szCs w:val="36"/>
          <w:highlight w:val="white"/>
        </w:rPr>
      </w:pPr>
      <w:r w:rsidDel="00000000" w:rsidR="00000000" w:rsidRPr="00000000">
        <w:rPr>
          <w:rtl w:val="0"/>
        </w:rPr>
      </w:r>
    </w:p>
    <w:p w:rsidR="00000000" w:rsidDel="00000000" w:rsidP="00000000" w:rsidRDefault="00000000" w:rsidRPr="00000000" w14:paraId="00000042">
      <w:pPr>
        <w:spacing w:after="0" w:line="240" w:lineRule="auto"/>
        <w:jc w:val="both"/>
        <w:rPr>
          <w:rFonts w:ascii="Times New Roman" w:cs="Times New Roman" w:eastAsia="Times New Roman" w:hAnsi="Times New Roman"/>
          <w:b w:val="1"/>
          <w:sz w:val="36"/>
          <w:szCs w:val="36"/>
          <w:highlight w:val="white"/>
        </w:rPr>
      </w:pPr>
      <w:r w:rsidDel="00000000" w:rsidR="00000000" w:rsidRPr="00000000">
        <w:rPr>
          <w:rFonts w:ascii="Times New Roman" w:cs="Times New Roman" w:eastAsia="Times New Roman" w:hAnsi="Times New Roman"/>
          <w:b w:val="1"/>
          <w:sz w:val="36"/>
          <w:szCs w:val="36"/>
          <w:highlight w:val="white"/>
          <w:rtl w:val="0"/>
        </w:rPr>
        <w:t xml:space="preserve">9. Ирина Д.</w:t>
      </w:r>
    </w:p>
    <w:p w:rsidR="00000000" w:rsidDel="00000000" w:rsidP="00000000" w:rsidRDefault="00000000" w:rsidRPr="00000000" w14:paraId="00000043">
      <w:pPr>
        <w:spacing w:after="0" w:line="240" w:lineRule="auto"/>
        <w:jc w:val="both"/>
        <w:rPr>
          <w:rFonts w:ascii="Times New Roman" w:cs="Times New Roman" w:eastAsia="Times New Roman" w:hAnsi="Times New Roman"/>
          <w:b w:val="1"/>
          <w:sz w:val="36"/>
          <w:szCs w:val="36"/>
          <w:highlight w:val="white"/>
        </w:rPr>
      </w:pPr>
      <w:r w:rsidDel="00000000" w:rsidR="00000000" w:rsidRPr="00000000">
        <w:rPr>
          <w:rFonts w:ascii="Times New Roman" w:cs="Times New Roman" w:eastAsia="Times New Roman" w:hAnsi="Times New Roman"/>
          <w:b w:val="1"/>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1) НКО в форме фонда в рамках уставной деятельности планирует оплатить ремонт помещения бюджетной организации, а также приобрести отдельно материалы для ремонта, путём заключения договора с подрядной организацией. </w:t>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Каким договором оформить данный процесс, чтобы избежать налоговых рисков: договором в пользу третьего лица или договором с последующей переуступкой прав требования? Правомерно ли не отражать материалы на балансе фонда, если грузополучателем после переуступки прав является бюджетная организация? </w:t>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47">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2) НКО в рамках уставной деятельности оказывает материальную поддержку физ.лицу в виде денежных средств. Можно ли не облагать сумму в размере 4000 т.р. НДФЛ? Считается ли данная мат. помощь подарком? Вычетов для мат. помощи не сотрудникам в налоговом законодательстве нет.</w:t>
      </w:r>
    </w:p>
    <w:p w:rsidR="00000000" w:rsidDel="00000000" w:rsidP="00000000" w:rsidRDefault="00000000" w:rsidRPr="00000000" w14:paraId="00000048">
      <w:pPr>
        <w:spacing w:after="0" w:line="240" w:lineRule="auto"/>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49">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3) НКО в форме фонда (не благотворительного) в рамках уставной деятельности необходимо оплатить проживание физ.лицу (не сотруднику фонда), который будет участвовать в выездных мероприятиях. Правомерно ли заключение с ним договора волонтерства или необходим договор пожертвования на определенные цели?</w:t>
      </w:r>
    </w:p>
    <w:p w:rsidR="00000000" w:rsidDel="00000000" w:rsidP="00000000" w:rsidRDefault="00000000" w:rsidRPr="00000000" w14:paraId="0000004A">
      <w:pPr>
        <w:spacing w:after="0" w:line="240" w:lineRule="auto"/>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4B">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4) Какие НКО находящиеся на  УСН, могут применять пониженные тарифы на уплату страховых взносов? Если оранизация занимается поддержкой в области образования, имеет ли она право на пониженные тарифы?</w:t>
      </w:r>
    </w:p>
    <w:p w:rsidR="00000000" w:rsidDel="00000000" w:rsidP="00000000" w:rsidRDefault="00000000" w:rsidRPr="00000000" w14:paraId="0000004C">
      <w:pPr>
        <w:spacing w:after="0" w:line="240" w:lineRule="auto"/>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4D">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5) Обязана ли НКО, в уставе которой прописано, что она может заниматься приносящей доход  деятельностью, сформировать минимальный уставный капитал? По факту деятельности  приносящей доход нет, что мы нарушим не создав данный уставный капитал?</w:t>
      </w:r>
    </w:p>
    <w:p w:rsidR="00000000" w:rsidDel="00000000" w:rsidP="00000000" w:rsidRDefault="00000000" w:rsidRPr="00000000" w14:paraId="0000004E">
      <w:pPr>
        <w:spacing w:after="0" w:line="240" w:lineRule="auto"/>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4F">
      <w:pPr>
        <w:spacing w:after="0" w:line="240" w:lineRule="auto"/>
        <w:jc w:val="both"/>
        <w:rPr>
          <w:rFonts w:ascii="Times New Roman" w:cs="Times New Roman" w:eastAsia="Times New Roman" w:hAnsi="Times New Roman"/>
          <w:b w:val="1"/>
          <w:sz w:val="36"/>
          <w:szCs w:val="36"/>
          <w:highlight w:val="white"/>
        </w:rPr>
      </w:pPr>
      <w:r w:rsidDel="00000000" w:rsidR="00000000" w:rsidRPr="00000000">
        <w:rPr>
          <w:rFonts w:ascii="Times New Roman" w:cs="Times New Roman" w:eastAsia="Times New Roman" w:hAnsi="Times New Roman"/>
          <w:b w:val="1"/>
          <w:sz w:val="36"/>
          <w:szCs w:val="36"/>
          <w:highlight w:val="white"/>
          <w:rtl w:val="0"/>
        </w:rPr>
        <w:t xml:space="preserve">10. Нэлля Г.</w:t>
      </w:r>
    </w:p>
    <w:p w:rsidR="00000000" w:rsidDel="00000000" w:rsidP="00000000" w:rsidRDefault="00000000" w:rsidRPr="00000000" w14:paraId="00000050">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b w:val="1"/>
          <w:color w:val="ffff00"/>
          <w:sz w:val="36"/>
          <w:szCs w:val="36"/>
          <w:rtl w:val="0"/>
        </w:rPr>
        <w:t xml:space="preserve">САВКОВА</w:t>
      </w:r>
      <w:r w:rsidDel="00000000" w:rsidR="00000000" w:rsidRPr="00000000">
        <w:rPr>
          <w:rFonts w:ascii="Times New Roman" w:cs="Times New Roman" w:eastAsia="Times New Roman" w:hAnsi="Times New Roman"/>
          <w:sz w:val="36"/>
          <w:szCs w:val="36"/>
          <w:highlight w:val="white"/>
          <w:rtl w:val="0"/>
        </w:rPr>
        <w:t xml:space="preserve"> </w:t>
      </w:r>
    </w:p>
    <w:p w:rsidR="00000000" w:rsidDel="00000000" w:rsidP="00000000" w:rsidRDefault="00000000" w:rsidRPr="00000000" w14:paraId="00000051">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У них требование, чтобы на последний день месяца была рассчитана и выплачена зарплата и налоги. В условиях нашей деятельности это невозможно, как можно аргументировать этим органам наше право подать эти сведения позднее (у нас выплата 3/п 13 числа следующего месяца)</w:t>
      </w:r>
    </w:p>
    <w:p w:rsidR="00000000" w:rsidDel="00000000" w:rsidP="00000000" w:rsidRDefault="00000000" w:rsidRPr="00000000" w14:paraId="00000052">
      <w:pPr>
        <w:spacing w:after="0" w:line="240" w:lineRule="auto"/>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53">
      <w:pPr>
        <w:spacing w:after="0" w:line="240" w:lineRule="auto"/>
        <w:jc w:val="both"/>
        <w:rPr>
          <w:rFonts w:ascii="Times New Roman" w:cs="Times New Roman" w:eastAsia="Times New Roman" w:hAnsi="Times New Roman"/>
          <w:b w:val="1"/>
          <w:sz w:val="36"/>
          <w:szCs w:val="36"/>
          <w:highlight w:val="white"/>
        </w:rPr>
      </w:pPr>
      <w:r w:rsidDel="00000000" w:rsidR="00000000" w:rsidRPr="00000000">
        <w:rPr>
          <w:rFonts w:ascii="Times New Roman" w:cs="Times New Roman" w:eastAsia="Times New Roman" w:hAnsi="Times New Roman"/>
          <w:b w:val="1"/>
          <w:sz w:val="36"/>
          <w:szCs w:val="36"/>
          <w:highlight w:val="white"/>
          <w:rtl w:val="0"/>
        </w:rPr>
        <w:t xml:space="preserve">11. Светлана К.</w:t>
      </w:r>
    </w:p>
    <w:p w:rsidR="00000000" w:rsidDel="00000000" w:rsidP="00000000" w:rsidRDefault="00000000" w:rsidRPr="00000000" w14:paraId="00000054">
      <w:pPr>
        <w:spacing w:after="0" w:line="240" w:lineRule="auto"/>
        <w:jc w:val="both"/>
        <w:rPr>
          <w:rFonts w:ascii="Times New Roman" w:cs="Times New Roman" w:eastAsia="Times New Roman" w:hAnsi="Times New Roman"/>
          <w:b w:val="1"/>
          <w:sz w:val="36"/>
          <w:szCs w:val="36"/>
          <w:highlight w:val="white"/>
        </w:rPr>
      </w:pPr>
      <w:r w:rsidDel="00000000" w:rsidR="00000000" w:rsidRPr="00000000">
        <w:rPr>
          <w:rFonts w:ascii="Times New Roman" w:cs="Times New Roman" w:eastAsia="Times New Roman" w:hAnsi="Times New Roman"/>
          <w:b w:val="1"/>
          <w:color w:val="00ff00"/>
          <w:sz w:val="36"/>
          <w:szCs w:val="36"/>
          <w:rtl w:val="0"/>
        </w:rPr>
        <w:t xml:space="preserve">ГАМОЛЬСКИЙ</w:t>
      </w:r>
      <w:r w:rsidDel="00000000" w:rsidR="00000000" w:rsidRPr="00000000">
        <w:rPr>
          <w:rtl w:val="0"/>
        </w:rPr>
      </w:r>
    </w:p>
    <w:p w:rsidR="00000000" w:rsidDel="00000000" w:rsidP="00000000" w:rsidRDefault="00000000" w:rsidRPr="00000000" w14:paraId="00000055">
      <w:pPr>
        <w:spacing w:after="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Применяем УСН, в планах приобретение квартиры (за счет доходов от деятельности, приносящей доход), для организации долговременного ухода за престарелыми и инвалидами, вопрос: какие налоги должны оплачивать?</w:t>
      </w:r>
    </w:p>
    <w:p w:rsidR="00000000" w:rsidDel="00000000" w:rsidP="00000000" w:rsidRDefault="00000000" w:rsidRPr="00000000" w14:paraId="00000056">
      <w:pPr>
        <w:spacing w:after="0" w:line="240" w:lineRule="auto"/>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57">
      <w:pPr>
        <w:spacing w:after="0" w:line="240" w:lineRule="auto"/>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58">
      <w:pPr>
        <w:spacing w:after="0" w:line="240" w:lineRule="auto"/>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59">
      <w:pPr>
        <w:spacing w:after="0" w:line="240" w:lineRule="auto"/>
        <w:jc w:val="both"/>
        <w:rPr>
          <w:rFonts w:ascii="Times New Roman" w:cs="Times New Roman" w:eastAsia="Times New Roman" w:hAnsi="Times New Roman"/>
          <w:sz w:val="36"/>
          <w:szCs w:val="36"/>
          <w:highlight w:val="white"/>
        </w:rPr>
      </w:pPr>
      <w:r w:rsidDel="00000000" w:rsidR="00000000" w:rsidRPr="00000000">
        <w:rPr>
          <w:rtl w:val="0"/>
        </w:rPr>
      </w:r>
    </w:p>
    <w:sectPr>
      <w:headerReference r:id="rId13" w:type="default"/>
      <w:pgSz w:h="16838" w:w="11906"/>
      <w:pgMar w:bottom="1134" w:top="1134" w:left="1695" w:right="85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spacing w:after="60" w:before="240" w:lineRule="auto"/>
    </w:pPr>
    <w:rPr>
      <w:b w:val="1"/>
      <w:smallCaps w:val="0"/>
      <w:sz w:val="28"/>
      <w:szCs w:val="28"/>
    </w:rPr>
  </w:style>
  <w:style w:type="paragraph" w:styleId="Heading5">
    <w:name w:val="heading 5"/>
    <w:basedOn w:val="Normal"/>
    <w:next w:val="Normal"/>
    <w:pPr>
      <w:spacing w:after="60" w:before="240" w:lineRule="auto"/>
    </w:pPr>
    <w:rPr>
      <w:b w:val="1"/>
      <w:i w:val="1"/>
      <w:smallCaps w:val="0"/>
      <w:sz w:val="26"/>
      <w:szCs w:val="26"/>
    </w:rPr>
  </w:style>
  <w:style w:type="paragraph" w:styleId="Heading6">
    <w:name w:val="heading 6"/>
    <w:basedOn w:val="Normal"/>
    <w:next w:val="Normal"/>
    <w:pPr>
      <w:spacing w:after="60" w:before="240" w:lineRule="auto"/>
    </w:pPr>
    <w:rPr>
      <w:b w:val="1"/>
      <w:smallCaps w:val="0"/>
    </w:rPr>
  </w:style>
  <w:style w:type="paragraph" w:styleId="Title">
    <w:name w:val="Title"/>
    <w:basedOn w:val="Normal"/>
    <w:next w:val="Normal"/>
    <w:pP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1" Type="http://schemas.openxmlformats.org/officeDocument/2006/relationships/hyperlink" Target="http://base.garant.ru/10900200/37/#block_24802" TargetMode="External"/><Relationship Id="rId10" Type="http://schemas.openxmlformats.org/officeDocument/2006/relationships/hyperlink" Target="http://base.garant.ru/10900200/37/#block_251" TargetMode="External"/><Relationship Id="rId13" Type="http://schemas.openxmlformats.org/officeDocument/2006/relationships/header" Target="header1.xml"/><Relationship Id="rId12" Type="http://schemas.openxmlformats.org/officeDocument/2006/relationships/hyperlink" Target="http://base.garant.ru/12144429/#block_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base.garant.ru/10900200/37/#block_25028" TargetMode="External"/><Relationship Id="rId5" Type="http://schemas.openxmlformats.org/officeDocument/2006/relationships/styles" Target="styles.xml"/><Relationship Id="rId6" Type="http://schemas.openxmlformats.org/officeDocument/2006/relationships/hyperlink" Target="https://login.consultant.ru/link/?req=doc&amp;base=LAW&amp;n=149890" TargetMode="External"/><Relationship Id="rId7" Type="http://schemas.openxmlformats.org/officeDocument/2006/relationships/hyperlink" Target="https://login.consultant.ru/link/?req=doc&amp;base=LAW&amp;n=200929&amp;dst=101883&amp;fld=134" TargetMode="External"/><Relationship Id="rId8" Type="http://schemas.openxmlformats.org/officeDocument/2006/relationships/hyperlink" Target="https://login.consultant.ru/link/?req=doc&amp;base=LAW&amp;n=149890&amp;dst=8&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