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FC" w:rsidRPr="004951FC" w:rsidRDefault="004951FC" w:rsidP="00495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33425"/>
            <wp:effectExtent l="19050" t="0" r="0" b="0"/>
            <wp:docPr id="1" name="Рисунок 1" descr="https://www.klerk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erk.ru/img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FC" w:rsidRPr="004951FC" w:rsidRDefault="004951FC" w:rsidP="004951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51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Федеральная налоговая служба</w:t>
      </w:r>
    </w:p>
    <w:p w:rsidR="004951FC" w:rsidRPr="004951FC" w:rsidRDefault="004951FC" w:rsidP="004951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51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41"/>
        <w:gridCol w:w="3414"/>
      </w:tblGrid>
      <w:tr w:rsidR="004951FC" w:rsidRPr="004951FC" w:rsidTr="004951F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951FC" w:rsidRPr="004951FC" w:rsidRDefault="004951FC" w:rsidP="0049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ГД-4-11/6190@</w:t>
            </w:r>
          </w:p>
        </w:tc>
        <w:tc>
          <w:tcPr>
            <w:tcW w:w="0" w:type="auto"/>
            <w:vAlign w:val="center"/>
            <w:hideMark/>
          </w:tcPr>
          <w:p w:rsidR="004951FC" w:rsidRPr="004951FC" w:rsidRDefault="004951FC" w:rsidP="0049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02.04.2018</w:t>
            </w:r>
          </w:p>
        </w:tc>
      </w:tr>
    </w:tbl>
    <w:p w:rsidR="004951FC" w:rsidRPr="004951FC" w:rsidRDefault="004951FC" w:rsidP="0049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Вопрос: 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отдельных вопросах, связанных с заполнением и представлением расчетов по страховым взносам.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Федеральная налоговая служба рассмотрела запрос от 07.12.2017 по вопросу представления расчетов по страховым взносам (далее — расчет) и сообщает следующее.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пункту 1 статьи 419 Налогового кодекса Российской Федерации (далее — Налоговый кодекс) плательщиками страховых взносов признаются лица, являющиеся страхователями в соответствии с федеральными законами о конкретных видах обязательного социального страхования, в частности, организации, производящие выплаты и иные вознаграждения физическим лицам.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Положениями пункта 1 статьи 420 Налогового кодекса определено, что объектом обложения страховыми взносами для упомянутых плательщиков признаются выплаты и иные вознаграждения в пользу физических лиц, подлежащих обязательному социальному страхованию в соответствии с федеральными законами о конкретных видах обязательного социального страхования, осуществляемые, в частности, в рамках трудовых отношений.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Пунктом 7 статьи 431 Налогового кодекса предусмотрена обязанность плательщиков страховых взносов, производящих выплаты и иные вознаграждения физическим лицам, представлять в установленном порядке расчет не позднее 30-го числа месяца, следующего за расчетным (отчетным) периодом.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Налоговым кодексом не предусмотрено освобождение от исполнения обязанности плательщика страховых взносов по представлению расчетов в случае неосуществления организацией финансово-хозяйственной деятельности.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случае отсутствия у плательщика в течение того или иного расчетного (отчетного) периода выплат и иных вознаграждений в пользу физических лиц, подлежащих обязательному социальному страхованию в соответствии с федеральными законами о конкретных видах обязательного социального страхования, такой плательщик обязан представить в налоговый орган в установленный срок расчет с нулевыми показателями.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разъяснения Минфина России по вопросу представления плательщиками страховых взносов расчетов по страховым взносам с нулевыми показателями, поступившие письмом от 24.03.2017 N 03-15-07/17273, доведены до территориальных налоговых органов письмом ФНС России от 03.04.2017 N БС-4-11/6174@.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заполнения расчета утвержден приказом ФНС России от 10.10.2016 N ММВ-7-11/511@.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 зависимости от осуществляемой деятельности обязательными для заполнения всеми плательщиками страховых</w:t>
      </w:r>
      <w:proofErr w:type="gramEnd"/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взносов в соответствии с порядком заполнения расчета являются: титульный лист, раздел 1, подразделы 1.1 и 1.2 к разделу 1, приложение 2 к разделу 1 и раздел 3 «Персонифицированные сведения о застрахованных лицах» расчета.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пункту 2.20 порядка заполнения расчета в случае отсутствия какого-либо показателя количественные и суммовые показатели заполняются значением «0» («ноль»), в остальных случаях во всех знакоместах соответствующего поля проставляется прочерк.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Пунктом 22.2 порядка заполнения расчета определено, что в персонифицированных сведениях о застрахованных лицах, в которых отсутствуют данные о сумме выплат и иных вознаграждений, начисленных в пользу физического лица за последние три месяца отчетного (расчетного) периода, подраздел 3.2 раздела 3 расчета не заполняется.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следует учитывать следующие разъяснения ФНС России.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 В отношении садоводческих, огороднических или дачных некоммерческих объединений</w:t>
      </w:r>
      <w:proofErr w:type="gramStart"/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В</w:t>
      </w:r>
      <w:proofErr w:type="gramEnd"/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соответствии с пунктом 1 статьи 20 Федерального закона от 15.04.1998 N 66-ФЗ «О садоводческих, огороднических и дачных некоммерческих объединениях граждан» (далее — Федеральный закон N 66-ФЗ) органами управления садоводческим, огородническим или дачным некоммерческим объединением являются общее собрание его членов, правление такого объединения, председатель его правления.</w:t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Председатель общего собрания членов садоводческого, огороднического или дачного некоммерческого объединения (собрания уполномоченных) избирается на общем собрании членов такого объединения (пункт 2 статьи 21 Федерального закона N 66-ФЗ).</w:t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Полномочия председателя правления садоводческого, огороднического или дачного некоммерческого объединения установлены статьей 23 Федерального закона N 66-ФЗ.</w:t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Положениями статьи 16 Трудового кодекса Российской Федерации (далее — Трудовой кодекс) определено, что в случаях и порядке, которые установлены трудовым законодательством и иными нормативными правовыми актами, содержащими нормы трудового права, или уставом (положением) организации, трудовые отношения возникают, в частности, в результате избрания на должность.</w:t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В соответствии со статьей 17 Трудового кодекса трудовые отношения в результате избрания на должность возникают, если избрание на должность предполагает выполнение работником определенной трудовой функции.</w:t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Таким образом, поскольку положениями Федерального закона N 66-ФЗ на председателя правления садоводческого, огороднического или дачного некоммерческого объединения возложено выполнение определенных функций на этой выборной должности, то его деятельность можно отнести к трудовой деятельности физического лица.</w:t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proofErr w:type="gramStart"/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Кроме того, следует отметить, что руководители организаций, являющиеся единственными участниками (учредителями), членами организаций, в том числе </w:t>
      </w:r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и председатель правления садоводческого, огороднического или дачного некоммерческого объединения, в силу положений Федеральных законов от 15.12.2001 N 167-ФЗ «Об обязательном пенсионном страховании в Российской Федерации», от 29.11.2010 N 326-ФЗ «Об обязательном медицинском страховании в Российской Федерации» и от 29.12.2006 N 255-ФЗ «Об обязательном социальном</w:t>
      </w:r>
      <w:proofErr w:type="gramEnd"/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gramStart"/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страховании</w:t>
      </w:r>
      <w:proofErr w:type="gramEnd"/>
      <w:r w:rsidRPr="004951F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 случай временной нетрудоспособности и в связи с материнством» признаются застрахованными лицами.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51F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Учитывая изложенное, в случае отсутствия в течение расчетного (отчетного) периода выплат и иных вознаграждений в пользу физических лиц к расчету, представляемому садоводческим, огородническим или дачным некоммерческим объединением за отчетный (расчетный) период, следует приложить раздел 3 на председателя правления садоводческого, огороднического или дачного некоммерческого объединения, заполнив в установленном порядке соответствующие строки 010 — 180 подраздела 3.1 расчета.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отношении муниципального бюджетного учреждения, находящегося в стадии ликвидации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Положениями пункта 15 статьи 431 Налогового кодекса установлено, что в случае прекращения деятельности организации в связи с ее ликвидацией плательщики страховых взносов обязаны до составления промежуточного ликвидационного баланса представить в налоговый орган расчет за период с начала расчетного периода по день представления указанного расчета включительно.</w:t>
      </w:r>
      <w:proofErr w:type="gramEnd"/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ликвидации муниципального бюджетного учреждения регулируется Гражданским кодексом Российской Федерации и статьями 18, 19 Федерального закона от 12.01.1996 N 7-ФЗ «О некоммерческих организациях» (далее — Федеральный закон N 7-ФЗ).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 положений пункта 3 статьи 18 Федерального закона N 7-ФЗ учредители (участники) некоммерческой организации или орган, принявший решение о ликвидации некоммерческой организации (в рассматриваемом случае местная администрация муниципального образования), назначают ликвидационную комиссию (ликвидатора) и устанавливают в соответствии с Гражданским кодексом Российской Федерации и Федеральным законом N 7-ФЗ порядок и сроки ликвидации некоммерческой организации.</w:t>
      </w:r>
      <w:proofErr w:type="gramEnd"/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пункту 4 статьи 19 Федерального закона N 7-ФЗ с момента назначения ликвидационной комиссии к ней переходят полномочия по управлению делами некоммерческой организации, в том числе по представлению расчета по страховым взносам.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рассматриваемой в запросе ситуации ликвидационные действия осуществляются индивидуальным предпринимателем в соответствии с заключенным с местной администрацией муниципального образования гражданско-правовым договором, предметом которого является выполнение работ, оказание услуг.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связи с этим в случае отсутствия у муниципального бюджетного учреждения, находящегося в стадии ликвидации, в течение расчетного периода выплат и иных вознаграждений в пользу физических лиц, подлежащих обязательному социальному страхованию в соответствии с федеральными законами о конкретных видах обязательного социального страхования, с учетом требований порядка заполнения расчета 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 представляемому расчету следует приложить раздел 3 на ликвидатора, осуществляющего полномочия по</w:t>
      </w:r>
      <w:proofErr w:type="gramEnd"/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управлению делами ликвидируемого муниципального бюджетного учреждения, заполнив в установленном порядке соответствующие строки 010 — 180 подраздела 3.1 расчета.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951FC" w:rsidRPr="004951FC" w:rsidRDefault="004951FC" w:rsidP="004951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Действительный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советник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класса</w:t>
      </w:r>
      <w:r w:rsidRPr="00495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Д.Ю.ГРИГОРЕНКО</w:t>
      </w:r>
    </w:p>
    <w:p w:rsidR="006C1B3A" w:rsidRDefault="006C1B3A"/>
    <w:p w:rsidR="004951FC" w:rsidRDefault="004951FC"/>
    <w:p w:rsidR="004951FC" w:rsidRDefault="004951FC"/>
    <w:p w:rsidR="004951FC" w:rsidRDefault="004951FC"/>
    <w:p w:rsidR="004951FC" w:rsidRDefault="004951FC">
      <w:r>
        <w:t>----------------------------------------------------------------------------------------------------------------------</w:t>
      </w:r>
    </w:p>
    <w:p w:rsidR="004951FC" w:rsidRDefault="004951FC"/>
    <w:p w:rsidR="004951FC" w:rsidRDefault="004951FC"/>
    <w:p w:rsidR="004951FC" w:rsidRDefault="004951FC">
      <w:r>
        <w:t>в ТК нет такого определения как «аванс». Это не что иное, как ЧАСТЬ заработной платы, которая выплачивается за первую половину месяца.</w:t>
      </w:r>
      <w:r>
        <w:br/>
        <w:t>Зарплату, в том числе за первую половину месяца, работник получает за труд (</w:t>
      </w:r>
      <w:proofErr w:type="gramStart"/>
      <w:r>
        <w:t>ч</w:t>
      </w:r>
      <w:proofErr w:type="gramEnd"/>
      <w:r>
        <w:t>.1 ст. 129 ТК РФ):</w:t>
      </w:r>
      <w:r>
        <w:br/>
      </w:r>
      <w:proofErr w:type="gramStart"/>
      <w:r>
        <w:t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</w:t>
      </w:r>
      <w:proofErr w:type="gramEnd"/>
      <w:r>
        <w:t xml:space="preserve"> надбавки стимулирующего характера, премии и иные поощрительные выплаты).</w:t>
      </w:r>
      <w:r>
        <w:br/>
      </w:r>
      <w:r>
        <w:br/>
        <w:t>Заработная плата выплачивается не реже чем каждые полмесяца (</w:t>
      </w:r>
      <w:proofErr w:type="gramStart"/>
      <w:r>
        <w:t>ч</w:t>
      </w:r>
      <w:proofErr w:type="gramEnd"/>
      <w:r>
        <w:t>.4 ст.136 ТК РФ).</w:t>
      </w:r>
      <w:r>
        <w:br/>
      </w:r>
      <w:r>
        <w:br/>
        <w:t xml:space="preserve">Но при этом в ТК есть ст.423, согласно которой до сих пор применяются нормативные акты СССР, если они не противоречат ТК. </w:t>
      </w:r>
      <w:r>
        <w:br/>
        <w:t xml:space="preserve">И есть одно постановление Совета Министров СССР №566 от 23.05.1957г. с характерным названием «О порядке выплаты заработной платы рабочим за первую половину месяца». Трудовому кодексу оно не противоречит и в нем написано, что размер выплаты аванса в счет зарплаты работнику за первую половину месяца </w:t>
      </w:r>
      <w:proofErr w:type="gramStart"/>
      <w:r>
        <w:t>устанавливается по соглашению работодателя с профсоюзом и прописывается</w:t>
      </w:r>
      <w:proofErr w:type="gramEnd"/>
      <w:r>
        <w:t xml:space="preserve"> в коллективном договоре. Минимальный размер такого аванса не должен быть меньше тарифной ставки работника за фактически отработанное время.</w:t>
      </w:r>
      <w:r>
        <w:br/>
      </w:r>
      <w:r>
        <w:br/>
        <w:t xml:space="preserve">Таким образом, кроме формального выполнения требований статьи 136 Трудового кодекса о выплате заработной платы не реже 2 раз в месяц работодателем, при определении размера аванса следует учитывать фактически отработанное работником время (фактически выполненную </w:t>
      </w:r>
      <w:r>
        <w:lastRenderedPageBreak/>
        <w:t>работу).</w:t>
      </w:r>
      <w:r>
        <w:br/>
      </w:r>
      <w:r>
        <w:br/>
        <w:t>Вместе с тем, согласно п.2 ст.223 НК, дата фактического получения работником дохода в виде заработной платы – это последний день месяца, за который эта зарплата начисляется. Поэтому на момент выплат за первую половину месяца дохода по НДФЛ не возникает. Солидарна здесь и позиция судов. Есть даже Постановление Президиума ВАС от 07.02.2012 г. № 11709/11.</w:t>
      </w:r>
      <w:r>
        <w:br/>
        <w:t xml:space="preserve">«Правовая норма, содержащаяся в пункте 2 статьи 223 Налогового кодекса, регулирует специальный порядок определения даты фактического получения дохода в виде оплаты труда как последнего дня месяца, за который работнику был начислен доход. </w:t>
      </w:r>
      <w:r>
        <w:br/>
        <w:t xml:space="preserve">Такое правовое регулирование объясняется тем, что в соответствии с частью 6 статьи 136 Трудового кодекса заработная плата выплачивается не реже чем каждые полмесяца. </w:t>
      </w:r>
      <w:r>
        <w:br/>
        <w:t xml:space="preserve">В то же время согласно пункту 3 статьи 226 Налогового кодекса исчисление сумм налога на доходы физических лиц производится налоговыми агентами нарастающим итогом с начала налогового периода по итогам каждого месяца. </w:t>
      </w:r>
      <w:r>
        <w:br/>
        <w:t>Следовательно, до истечения месяца нельзя определить полученный доход в виде оплаты труда за месяц и исчислить налог, подлежащий удержанию и перечислению в бюджет, при выплате заработной платы за первую половину месяца».</w:t>
      </w:r>
      <w:r>
        <w:br/>
      </w:r>
      <w:r>
        <w:br/>
        <w:t>Выводы:</w:t>
      </w:r>
      <w:r>
        <w:br/>
        <w:t>1. — минимальная выплата за первую половину месяца – не меньше тарифной ставки работника за время, отработанное по факту;</w:t>
      </w:r>
      <w:r>
        <w:br/>
      </w:r>
      <w:proofErr w:type="gramStart"/>
      <w:r>
        <w:t>2. — сумма аванса по заработной плате рассчитывается не условно (40% оклада, 50% оклада и т.п.), а с учетом фактически отработанного времени, поэтому придется составлять табели и за первую половину месяца перед тем, как производить начисления.</w:t>
      </w:r>
      <w:r>
        <w:br/>
        <w:t>3. – поскольку НДФЛ с выплаты заработной платы за первую половину месяца (аванса) не удерживается, выплатить работнику следует полную сумму начисленной заработной платы за первую</w:t>
      </w:r>
      <w:proofErr w:type="gramEnd"/>
      <w:r>
        <w:t xml:space="preserve"> половину месяца. Коэффициент 0,87 применять не следует.</w:t>
      </w:r>
      <w:r>
        <w:br/>
        <w:t>4. – если размер аванса установлен фиксированным процентом от заработной платы, но при этом гарантированно будет превышать расчетную сумму аванса по фактически отработанному времени, нарушением это не будет. Однако в реальной жизни такое встречается крайне редко.</w:t>
      </w:r>
      <w:r>
        <w:br/>
      </w:r>
      <w:r>
        <w:br/>
        <w:t>При расчете размера аванса следует учитывать и прочие составляющие ежемесячного дохода: доплаты и надбавки за условия труда, выполнение дополнительного объема работ, совмещение профессий (должностей), замещение временно отсутствующего работника. Ведь работник уже точно отработал половину месяца, и потому вправе претендовать на часть подобных выплат. А вот стимулирующие выплаты (премии) в расчет аванса не входят.</w:t>
      </w:r>
    </w:p>
    <w:sectPr w:rsidR="004951FC" w:rsidSect="006C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951FC"/>
    <w:rsid w:val="004951FC"/>
    <w:rsid w:val="006C1B3A"/>
    <w:rsid w:val="007B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3A"/>
  </w:style>
  <w:style w:type="paragraph" w:styleId="2">
    <w:name w:val="heading 2"/>
    <w:basedOn w:val="a"/>
    <w:link w:val="20"/>
    <w:uiPriority w:val="9"/>
    <w:qFormat/>
    <w:rsid w:val="00495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1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neverov_g</dc:creator>
  <cp:lastModifiedBy>neverov_g</cp:lastModifiedBy>
  <cp:revision>1</cp:revision>
  <dcterms:created xsi:type="dcterms:W3CDTF">2019-04-17T18:26:00Z</dcterms:created>
  <dcterms:modified xsi:type="dcterms:W3CDTF">2019-04-17T18:40:00Z</dcterms:modified>
</cp:coreProperties>
</file>